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w:t>
      </w:r>
      <w:r>
        <w:rPr>
          <w:rFonts w:ascii="Arial" w:hAnsi="Arial" w:eastAsia="Arial" w:cs="Arial"/>
          <w:b/>
          <w:color w:val="000000"/>
          <w:sz w:val="84"/>
        </w:rPr>
        <w:t xml:space="preserve"> </w:t>
      </w:r>
      <w:r>
        <w:rPr>
          <w:rFonts w:ascii="SimSun" w:hAnsi="SimSun" w:eastAsia="SimSun" w:cs="SimSun"/>
          <w:b/>
          <w:color w:val="000000"/>
          <w:sz w:val="84"/>
        </w:rPr>
        <w:t xml:space="preserve">标</w:t>
      </w:r>
      <w:r>
        <w:rPr>
          <w:rFonts w:ascii="Arial" w:hAnsi="Arial" w:eastAsia="Arial" w:cs="Arial"/>
          <w:b/>
          <w:color w:val="000000"/>
          <w:sz w:val="84"/>
        </w:rPr>
        <w:t xml:space="preserve"> </w:t>
      </w:r>
      <w:r>
        <w:rPr>
          <w:rFonts w:ascii="SimSun" w:hAnsi="SimSun" w:eastAsia="SimSun" w:cs="SimSun"/>
          <w:b/>
          <w:color w:val="000000"/>
          <w:sz w:val="84"/>
        </w:rPr>
        <w:t xml:space="preserve">文</w:t>
      </w:r>
      <w:r>
        <w:rPr>
          <w:rFonts w:ascii="Arial" w:hAnsi="Arial" w:eastAsia="Arial" w:cs="Arial"/>
          <w:b/>
          <w:color w:val="000000"/>
          <w:sz w:val="84"/>
        </w:rPr>
        <w:t xml:space="preserve"> </w:t>
      </w:r>
      <w:r>
        <w:rPr>
          <w:rFonts w:ascii="SimSun" w:hAnsi="SimSun" w:eastAsia="SimSun" w:cs="SimSun"/>
          <w:b/>
          <w:color w:val="000000"/>
          <w:sz w:val="84"/>
        </w:rPr>
        <w:t xml:space="preserve">件</w:t>
      </w:r>
      <w:r/>
    </w:p>
    <w:p>
      <w:pPr>
        <w:ind w:left="0" w:right="0" w:firstLine="2249"/>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2249"/>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2249"/>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项目名称：响水县南河镇环境保洁服务项目</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Times New Roman" w:hAnsi="Times New Roman" w:eastAsia="Times New Roman" w:cs="Times New Roman"/>
          <w:b/>
          <w:color w:val="000000"/>
          <w:sz w:val="32"/>
        </w:rPr>
        <w:t xml:space="preserve">JSZC-320921-YCRW-G2026-0004</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采购单位：响水县南河镇人民政府</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u w:val="single"/>
        </w:rPr>
        <w:t xml:space="preserve">2026</w:t>
      </w:r>
      <w:r>
        <w:rPr>
          <w:rFonts w:ascii="SimSun" w:hAnsi="SimSun" w:eastAsia="SimSun" w:cs="SimSun"/>
          <w:b/>
          <w:color w:val="000000"/>
          <w:sz w:val="32"/>
        </w:rPr>
        <w:t xml:space="preserve">年</w:t>
      </w:r>
      <w:r>
        <w:rPr>
          <w:rFonts w:ascii="Arial" w:hAnsi="Arial" w:eastAsia="Arial" w:cs="Arial"/>
          <w:b/>
          <w:color w:val="000000"/>
          <w:sz w:val="32"/>
          <w:u w:val="single"/>
        </w:rPr>
        <w:t xml:space="preserve">6</w:t>
      </w:r>
      <w:r>
        <w:rPr>
          <w:rFonts w:ascii="SimSun" w:hAnsi="SimSun" w:eastAsia="SimSun" w:cs="SimSun"/>
          <w:b/>
          <w:color w:val="000000"/>
          <w:sz w:val="32"/>
        </w:rPr>
        <w:t xml:space="preserve">月</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Hei" w:hAnsi="SimHei" w:eastAsia="SimHei" w:cs="SimHei"/>
          <w:b/>
          <w:color w:val="000000"/>
          <w:sz w:val="44"/>
        </w:rPr>
        <w:t xml:space="preserve">总  目</w:t>
      </w:r>
      <w:r>
        <w:rPr>
          <w:rFonts w:ascii="SimSun" w:hAnsi="SimSun" w:eastAsia="SimSun" w:cs="SimSun"/>
          <w:b/>
          <w:color w:val="000000"/>
          <w:sz w:val="44"/>
        </w:rPr>
        <w:t xml:space="preserve">  </w:t>
      </w:r>
      <w:r>
        <w:rPr>
          <w:rFonts w:ascii="SimHei" w:hAnsi="SimHei" w:eastAsia="SimHei" w:cs="SimHei"/>
          <w:b/>
          <w:color w:val="000000"/>
          <w:sz w:val="44"/>
        </w:rPr>
        <w:t xml:space="preserve">录</w:t>
      </w:r>
      <w:r/>
    </w:p>
    <w:p>
      <w:pPr>
        <w:ind w:left="0" w:right="0" w:firstLine="0"/>
        <w:jc w:val="both"/>
        <w:spacing w:before="240" w:after="24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sdt>
      <w:sdtPr>
        <w15:appearance w15:val="boundingBox"/>
        <w:rPr/>
      </w:sdtPr>
      <w:sdtContent>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tabs>
              <w:tab w:val="left" w:pos="8306" w:leader="none"/>
            </w:tabs>
            <w:pBdr>
              <w:top w:val="none" w:color="000000" w:sz="4" w:space="0"/>
              <w:left w:val="none" w:color="000000" w:sz="4" w:space="0"/>
              <w:bottom w:val="none" w:color="000000" w:sz="4" w:space="0"/>
              <w:right w:val="none" w:color="000000" w:sz="4" w:space="0"/>
            </w:pBdr>
          </w:pPr>
          <w:hyperlink r:id="rId11" w:tooltip="http://jszfcg.jsczt.cn/jszc/onlyoffice/7.2.1-34/web-apps/apps/documenteditor/main/index_loader.html?_dc=7.2.1-34&amp;lang=zh&amp;customer=%20&amp;logo=%20&amp;headerlogo=%2Ffavicon.ico&amp;frameEditorId=iframePage&amp;compact=true&amp;parentOrigin=http://jszfcg.jsczt.cn#_Toc18663" w:history="1">
            <w:r>
              <w:rPr>
                <w:rStyle w:val="829"/>
                <w:rFonts w:ascii="SimSun" w:hAnsi="SimSun" w:eastAsia="SimSun" w:cs="SimSun"/>
                <w:b/>
                <w:color w:val="0000ee"/>
                <w:sz w:val="30"/>
                <w:u w:val="single"/>
              </w:rPr>
              <w:t xml:space="preserve">第一章</w:t>
            </w:r>
            <w:r>
              <w:rPr>
                <w:rStyle w:val="829"/>
                <w:rFonts w:ascii="Calibri" w:hAnsi="Calibri" w:eastAsia="Calibri" w:cs="Calibri"/>
                <w:b/>
                <w:color w:val="0000ee"/>
                <w:sz w:val="30"/>
                <w:u w:val="single"/>
              </w:rPr>
              <w:t xml:space="preserve"> </w:t>
            </w:r>
            <w:r>
              <w:rPr>
                <w:rStyle w:val="829"/>
                <w:rFonts w:ascii="SimSun" w:hAnsi="SimSun" w:eastAsia="SimSun" w:cs="SimSun"/>
                <w:b/>
                <w:color w:val="0000ee"/>
                <w:sz w:val="30"/>
                <w:u w:val="single"/>
              </w:rPr>
              <w:t xml:space="preserve">招标公告</w:t>
            </w:r>
            <w:r>
              <w:rPr>
                <w:rStyle w:val="829"/>
                <w:rFonts w:ascii="Calibri" w:hAnsi="Calibri" w:eastAsia="Calibri" w:cs="Calibri"/>
                <w:b/>
                <w:color w:val="0000ee"/>
                <w:sz w:val="30"/>
                <w:u w:val="single"/>
              </w:rPr>
              <w:tab/>
            </w:r>
          </w:hyperlink>
          <w:r/>
        </w:p>
        <w:p>
          <w:pPr>
            <w:ind w:left="0" w:right="0" w:firstLine="0"/>
            <w:jc w:val="both"/>
            <w:spacing w:before="0" w:after="0"/>
            <w:tabs>
              <w:tab w:val="left" w:pos="8306" w:leader="none"/>
            </w:tabs>
            <w:pBdr>
              <w:top w:val="none" w:color="000000" w:sz="4" w:space="0"/>
              <w:left w:val="none" w:color="000000" w:sz="4" w:space="0"/>
              <w:bottom w:val="none" w:color="000000" w:sz="4" w:space="0"/>
              <w:right w:val="none" w:color="000000" w:sz="4" w:space="0"/>
            </w:pBdr>
          </w:pPr>
          <w:hyperlink r:id="rId12" w:tooltip="http://jszfcg.jsczt.cn/jszc/onlyoffice/7.2.1-34/web-apps/apps/documenteditor/main/index_loader.html?_dc=7.2.1-34&amp;lang=zh&amp;customer=%20&amp;logo=%20&amp;headerlogo=%2Ffavicon.ico&amp;frameEditorId=iframePage&amp;compact=true&amp;parentOrigin=http://jszfcg.jsczt.cn#_Toc11642" w:history="1">
            <w:r>
              <w:rPr>
                <w:rStyle w:val="829"/>
                <w:rFonts w:ascii="SimSun" w:hAnsi="SimSun" w:eastAsia="SimSun" w:cs="SimSun"/>
                <w:b/>
                <w:color w:val="0000ee"/>
                <w:sz w:val="30"/>
                <w:u w:val="single"/>
              </w:rPr>
              <w:t xml:space="preserve">第二章</w:t>
            </w:r>
            <w:r>
              <w:rPr>
                <w:rStyle w:val="829"/>
                <w:rFonts w:ascii="Calibri" w:hAnsi="Calibri" w:eastAsia="Calibri" w:cs="Calibri"/>
                <w:b/>
                <w:color w:val="0000ee"/>
                <w:sz w:val="30"/>
                <w:u w:val="single"/>
              </w:rPr>
              <w:t xml:space="preserve">  </w:t>
            </w:r>
            <w:r>
              <w:rPr>
                <w:rStyle w:val="829"/>
                <w:rFonts w:ascii="SimSun" w:hAnsi="SimSun" w:eastAsia="SimSun" w:cs="SimSun"/>
                <w:b/>
                <w:color w:val="0000ee"/>
                <w:sz w:val="30"/>
                <w:u w:val="single"/>
              </w:rPr>
              <w:t xml:space="preserve">投标人须知</w:t>
            </w:r>
            <w:r>
              <w:rPr>
                <w:rStyle w:val="829"/>
                <w:rFonts w:ascii="Calibri" w:hAnsi="Calibri" w:eastAsia="Calibri" w:cs="Calibri"/>
                <w:b/>
                <w:color w:val="0000ee"/>
                <w:sz w:val="30"/>
                <w:u w:val="single"/>
              </w:rPr>
              <w:tab/>
            </w:r>
          </w:hyperlink>
          <w:r/>
        </w:p>
        <w:p>
          <w:pPr>
            <w:ind w:left="0" w:right="0" w:firstLine="0"/>
            <w:jc w:val="both"/>
            <w:spacing w:before="0" w:after="0"/>
            <w:tabs>
              <w:tab w:val="left" w:pos="8306" w:leader="none"/>
            </w:tabs>
            <w:pBdr>
              <w:top w:val="none" w:color="000000" w:sz="4" w:space="0"/>
              <w:left w:val="none" w:color="000000" w:sz="4" w:space="0"/>
              <w:bottom w:val="none" w:color="000000" w:sz="4" w:space="0"/>
              <w:right w:val="none" w:color="000000" w:sz="4" w:space="0"/>
            </w:pBdr>
          </w:pPr>
          <w:hyperlink r:id="rId13" w:tooltip="http://jszfcg.jsczt.cn/jszc/onlyoffice/7.2.1-34/web-apps/apps/documenteditor/main/index_loader.html?_dc=7.2.1-34&amp;lang=zh&amp;customer=%20&amp;logo=%20&amp;headerlogo=%2Ffavicon.ico&amp;frameEditorId=iframePage&amp;compact=true&amp;parentOrigin=http://jszfcg.jsczt.cn#_Toc11729" w:history="1">
            <w:r>
              <w:rPr>
                <w:rStyle w:val="829"/>
                <w:rFonts w:ascii="SimSun" w:hAnsi="SimSun" w:eastAsia="SimSun" w:cs="SimSun"/>
                <w:b/>
                <w:color w:val="0000ee"/>
                <w:sz w:val="30"/>
                <w:u w:val="single"/>
              </w:rPr>
              <w:t xml:space="preserve">第三章</w:t>
            </w:r>
            <w:r>
              <w:rPr>
                <w:rStyle w:val="829"/>
                <w:rFonts w:ascii="Calibri" w:hAnsi="Calibri" w:eastAsia="Calibri" w:cs="Calibri"/>
                <w:b/>
                <w:color w:val="0000ee"/>
                <w:sz w:val="30"/>
                <w:u w:val="single"/>
              </w:rPr>
              <w:t xml:space="preserve">  </w:t>
            </w:r>
            <w:r>
              <w:rPr>
                <w:rStyle w:val="829"/>
                <w:rFonts w:ascii="SimSun" w:hAnsi="SimSun" w:eastAsia="SimSun" w:cs="SimSun"/>
                <w:b/>
                <w:color w:val="0000ee"/>
                <w:sz w:val="30"/>
                <w:u w:val="single"/>
              </w:rPr>
              <w:t xml:space="preserve">合同文本</w:t>
            </w:r>
            <w:r>
              <w:rPr>
                <w:rStyle w:val="829"/>
                <w:rFonts w:ascii="Calibri" w:hAnsi="Calibri" w:eastAsia="Calibri" w:cs="Calibri"/>
                <w:b/>
                <w:color w:val="0000ee"/>
                <w:sz w:val="30"/>
                <w:u w:val="single"/>
              </w:rPr>
              <w:tab/>
            </w:r>
          </w:hyperlink>
          <w:r/>
        </w:p>
        <w:p>
          <w:pPr>
            <w:ind w:left="0" w:right="0" w:firstLine="0"/>
            <w:jc w:val="both"/>
            <w:spacing w:before="0" w:after="0"/>
            <w:tabs>
              <w:tab w:val="left" w:pos="8306" w:leader="none"/>
            </w:tabs>
            <w:pBdr>
              <w:top w:val="none" w:color="000000" w:sz="4" w:space="0"/>
              <w:left w:val="none" w:color="000000" w:sz="4" w:space="0"/>
              <w:bottom w:val="none" w:color="000000" w:sz="4" w:space="0"/>
              <w:right w:val="none" w:color="000000" w:sz="4" w:space="0"/>
            </w:pBdr>
          </w:pPr>
          <w:hyperlink r:id="rId14" w:tooltip="http://jszfcg.jsczt.cn/jszc/onlyoffice/7.2.1-34/web-apps/apps/documenteditor/main/index_loader.html?_dc=7.2.1-34&amp;lang=zh&amp;customer=%20&amp;logo=%20&amp;headerlogo=%2Ffavicon.ico&amp;frameEditorId=iframePage&amp;compact=true&amp;parentOrigin=http://jszfcg.jsczt.cn#_Toc19913" w:history="1">
            <w:r>
              <w:rPr>
                <w:rStyle w:val="829"/>
                <w:rFonts w:ascii="SimSun" w:hAnsi="SimSun" w:eastAsia="SimSun" w:cs="SimSun"/>
                <w:b/>
                <w:color w:val="0000ee"/>
                <w:sz w:val="30"/>
                <w:u w:val="single"/>
              </w:rPr>
              <w:t xml:space="preserve">第四章 采购需求</w:t>
            </w:r>
            <w:r>
              <w:rPr>
                <w:rStyle w:val="829"/>
                <w:rFonts w:ascii="Calibri" w:hAnsi="Calibri" w:eastAsia="Calibri" w:cs="Calibri"/>
                <w:b/>
                <w:color w:val="0000ee"/>
                <w:sz w:val="30"/>
                <w:u w:val="single"/>
              </w:rPr>
              <w:tab/>
            </w:r>
          </w:hyperlink>
          <w:r/>
        </w:p>
        <w:p>
          <w:pPr>
            <w:ind w:left="0" w:right="0" w:firstLine="0"/>
            <w:jc w:val="both"/>
            <w:spacing w:before="0" w:after="0"/>
            <w:tabs>
              <w:tab w:val="left" w:pos="8306" w:leader="none"/>
            </w:tabs>
            <w:pBdr>
              <w:top w:val="none" w:color="000000" w:sz="4" w:space="0"/>
              <w:left w:val="none" w:color="000000" w:sz="4" w:space="0"/>
              <w:bottom w:val="none" w:color="000000" w:sz="4" w:space="0"/>
              <w:right w:val="none" w:color="000000" w:sz="4" w:space="0"/>
            </w:pBdr>
          </w:pPr>
          <w:hyperlink r:id="rId15" w:tooltip="http://jszfcg.jsczt.cn/jszc/onlyoffice/7.2.1-34/web-apps/apps/documenteditor/main/index_loader.html?_dc=7.2.1-34&amp;lang=zh&amp;customer=%20&amp;logo=%20&amp;headerlogo=%2Ffavicon.ico&amp;frameEditorId=iframePage&amp;compact=true&amp;parentOrigin=http://jszfcg.jsczt.cn#_Toc9849" w:history="1">
            <w:r>
              <w:rPr>
                <w:rStyle w:val="829"/>
                <w:rFonts w:ascii="SimSun" w:hAnsi="SimSun" w:eastAsia="SimSun" w:cs="SimSun"/>
                <w:b/>
                <w:color w:val="0000ee"/>
                <w:sz w:val="30"/>
                <w:u w:val="single"/>
              </w:rPr>
              <w:t xml:space="preserve">第五章</w:t>
            </w:r>
            <w:r>
              <w:rPr>
                <w:rStyle w:val="829"/>
                <w:rFonts w:ascii="Calibri" w:hAnsi="Calibri" w:eastAsia="Calibri" w:cs="Calibri"/>
                <w:b/>
                <w:color w:val="0000ee"/>
                <w:sz w:val="30"/>
                <w:u w:val="single"/>
              </w:rPr>
              <w:t xml:space="preserve">  </w:t>
            </w:r>
            <w:r>
              <w:rPr>
                <w:rStyle w:val="829"/>
                <w:rFonts w:ascii="SimSun" w:hAnsi="SimSun" w:eastAsia="SimSun" w:cs="SimSun"/>
                <w:b/>
                <w:color w:val="0000ee"/>
                <w:sz w:val="30"/>
                <w:u w:val="single"/>
              </w:rPr>
              <w:t xml:space="preserve">评标方法与评标标准</w:t>
            </w:r>
            <w:r>
              <w:rPr>
                <w:rStyle w:val="829"/>
                <w:rFonts w:ascii="Calibri" w:hAnsi="Calibri" w:eastAsia="Calibri" w:cs="Calibri"/>
                <w:b/>
                <w:color w:val="0000ee"/>
                <w:sz w:val="30"/>
                <w:u w:val="single"/>
              </w:rPr>
              <w:tab/>
            </w:r>
          </w:hyperlink>
          <w:r/>
        </w:p>
        <w:p>
          <w:pPr>
            <w:ind w:left="0" w:right="0" w:firstLine="0"/>
            <w:jc w:val="both"/>
            <w:spacing w:before="0" w:after="0"/>
            <w:tabs>
              <w:tab w:val="left" w:pos="8306" w:leader="none"/>
            </w:tabs>
            <w:pBdr>
              <w:top w:val="none" w:color="000000" w:sz="4" w:space="0"/>
              <w:left w:val="none" w:color="000000" w:sz="4" w:space="0"/>
              <w:bottom w:val="none" w:color="000000" w:sz="4" w:space="0"/>
              <w:right w:val="none" w:color="000000" w:sz="4" w:space="0"/>
            </w:pBdr>
          </w:pPr>
          <w:hyperlink r:id="rId16" w:tooltip="http://jszfcg.jsczt.cn/jszc/onlyoffice/7.2.1-34/web-apps/apps/documenteditor/main/index_loader.html?_dc=7.2.1-34&amp;lang=zh&amp;customer=%20&amp;logo=%20&amp;headerlogo=%2Ffavicon.ico&amp;frameEditorId=iframePage&amp;compact=true&amp;parentOrigin=http://jszfcg.jsczt.cn#_Toc7087" w:history="1">
            <w:r>
              <w:rPr>
                <w:rStyle w:val="829"/>
                <w:rFonts w:ascii="SimSun" w:hAnsi="SimSun" w:eastAsia="SimSun" w:cs="SimSun"/>
                <w:b/>
                <w:color w:val="0000ee"/>
                <w:sz w:val="30"/>
                <w:u w:val="single"/>
              </w:rPr>
              <w:t xml:space="preserve">第六章</w:t>
            </w:r>
            <w:r>
              <w:rPr>
                <w:rStyle w:val="829"/>
                <w:rFonts w:ascii="Calibri" w:hAnsi="Calibri" w:eastAsia="Calibri" w:cs="Calibri"/>
                <w:b/>
                <w:color w:val="0000ee"/>
                <w:sz w:val="30"/>
                <w:u w:val="single"/>
              </w:rPr>
              <w:t xml:space="preserve">  </w:t>
            </w:r>
            <w:r>
              <w:rPr>
                <w:rStyle w:val="829"/>
                <w:rFonts w:ascii="SimSun" w:hAnsi="SimSun" w:eastAsia="SimSun" w:cs="SimSun"/>
                <w:b/>
                <w:color w:val="0000ee"/>
                <w:sz w:val="30"/>
                <w:u w:val="single"/>
              </w:rPr>
              <w:t xml:space="preserve">投标文件格式</w:t>
            </w:r>
            <w:r>
              <w:rPr>
                <w:rStyle w:val="829"/>
                <w:rFonts w:ascii="Calibri" w:hAnsi="Calibri" w:eastAsia="Calibri" w:cs="Calibri"/>
                <w:b/>
                <w:color w:val="0000ee"/>
                <w:sz w:val="30"/>
                <w:u w:val="single"/>
              </w:rPr>
              <w:tab/>
            </w:r>
          </w:hyperlink>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0"/>
            </w:rPr>
            <w:t xml:space="preserve"> </w:t>
          </w:r>
          <w:r/>
        </w:p>
      </w:sdtContent>
    </w:sdt>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0"/>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
      <w:r>
        <w:rPr>
          <w:rFonts w:ascii="Calibri" w:hAnsi="Calibri" w:eastAsia="Calibri" w:cs="Calibri"/>
          <w:sz w:val="24"/>
        </w:rPr>
      </w:r>
      <w:r/>
      <w:r/>
      <w:r/>
      <w:r>
        <w:rPr>
          <w:rFonts w:ascii="Calibri" w:hAnsi="Calibri" w:eastAsia="Calibri" w:cs="Calibri"/>
          <w:sz w:val="24"/>
        </w:rPr>
      </w:r>
      <w:r>
        <w:rPr>
          <w:rFonts w:ascii="Calibri" w:hAnsi="Calibri" w:eastAsia="Calibri" w:cs="Calibri"/>
          <w:sz w:val="24"/>
        </w:rPr>
      </w:r>
      <w:r>
        <w:rPr>
          <w:rFonts w:ascii="Calibri" w:hAnsi="Calibri" w:eastAsia="Calibri" w:cs="Calibri"/>
          <w:sz w:val="24"/>
        </w:rPr>
      </w:r>
      <w:r>
        <w:rPr>
          <w:rFonts w:ascii="Calibri" w:hAnsi="Calibri" w:eastAsia="Calibri" w:cs="Calibri"/>
          <w:sz w:val="24"/>
        </w:rP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847"/>
        <w:ind w:left="0" w:right="0" w:firstLine="0"/>
        <w:jc w:val="center"/>
        <w:spacing w:before="100" w:after="100" w:line="66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44"/>
        </w:rPr>
        <w:t xml:space="preserve"> </w:t>
      </w:r>
      <w:r>
        <w:rPr>
          <w:rFonts w:ascii="SimHei" w:hAnsi="SimHei" w:eastAsia="SimHei" w:cs="SimHei"/>
          <w:b/>
          <w:color w:val="000000"/>
          <w:sz w:val="44"/>
        </w:rPr>
        <w:t xml:space="preserve">第一章</w:t>
      </w:r>
      <w:r>
        <w:rPr>
          <w:rFonts w:ascii="Calibri" w:hAnsi="Calibri" w:eastAsia="Calibri" w:cs="Calibri"/>
          <w:b/>
          <w:color w:val="000000"/>
          <w:sz w:val="44"/>
        </w:rPr>
        <w:t xml:space="preserve"> </w:t>
      </w:r>
      <w:r>
        <w:rPr>
          <w:rFonts w:ascii="SimHei" w:hAnsi="SimHei" w:eastAsia="SimHei" w:cs="SimHei"/>
          <w:b/>
          <w:color w:val="000000"/>
          <w:sz w:val="44"/>
        </w:rPr>
        <w:t xml:space="preserve">招标公告</w:t>
      </w:r>
      <w:r/>
    </w:p>
    <w:p>
      <w:pPr>
        <w:ind w:left="0" w:right="0" w:firstLine="480"/>
        <w:jc w:val="both"/>
        <w:spacing w:before="240" w:after="24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240" w:after="24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响水县南河镇环境保洁服务项目</w:t>
      </w:r>
      <w:r>
        <w:rPr>
          <w:rFonts w:ascii="SimSun" w:hAnsi="SimSun" w:eastAsia="SimSun" w:cs="SimSun"/>
          <w:color w:val="000000"/>
          <w:sz w:val="24"/>
        </w:rPr>
        <w:t xml:space="preserve">招标项目的潜在投标人可在</w:t>
      </w:r>
      <w:r>
        <w:rPr>
          <w:rFonts w:ascii="SimSun" w:hAnsi="SimSun" w:eastAsia="SimSun" w:cs="SimSun"/>
          <w:color w:val="333333"/>
          <w:sz w:val="24"/>
          <w:highlight w:val="white"/>
        </w:rPr>
        <w:t xml:space="preserve">“苏采云”系统内免费下载（投标人必须在苏采云系统中获取采购文件，方能参与政府采购项目） </w:t>
      </w:r>
      <w:r>
        <w:rPr>
          <w:rFonts w:ascii="SimSun" w:hAnsi="SimSun" w:eastAsia="SimSun" w:cs="SimSun"/>
          <w:color w:val="000000"/>
          <w:sz w:val="24"/>
        </w:rPr>
        <w:t xml:space="preserve">，并于</w:t>
      </w:r>
      <w:r>
        <w:rPr>
          <w:rFonts w:ascii="SimSun" w:hAnsi="SimSun" w:eastAsia="SimSun" w:cs="SimSun"/>
          <w:color w:val="000000"/>
          <w:sz w:val="24"/>
          <w:u w:val="single"/>
        </w:rPr>
        <w:t xml:space="preserve"> 2026年7月20日09点00分（</w:t>
      </w:r>
      <w:r>
        <w:rPr>
          <w:rFonts w:ascii="SimSun" w:hAnsi="SimSun" w:eastAsia="SimSun" w:cs="SimSun"/>
          <w:color w:val="000000"/>
          <w:sz w:val="24"/>
        </w:rPr>
        <w:t xml:space="preserve">北京时间）前递交投标文件。</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一、项目基本情况</w:t>
      </w:r>
      <w:r/>
    </w:p>
    <w:p>
      <w:pPr>
        <w:ind w:left="0" w:right="0" w:firstLine="48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1.项目编号：JSZC-320921-YCRW-G2026-0004</w:t>
      </w:r>
      <w:r/>
    </w:p>
    <w:p>
      <w:pPr>
        <w:ind w:left="0" w:right="0" w:firstLine="48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2.项目名称：响水县南河镇环境保洁服务项目</w:t>
      </w:r>
      <w:r/>
    </w:p>
    <w:p>
      <w:pPr>
        <w:ind w:left="0" w:right="0" w:firstLine="48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3.采购方式：公开招标</w:t>
      </w:r>
      <w:r/>
    </w:p>
    <w:p>
      <w:pPr>
        <w:ind w:left="0" w:right="0" w:firstLine="48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4.预算金额：223.912168万元/年</w:t>
      </w:r>
      <w:r/>
    </w:p>
    <w:p>
      <w:pPr>
        <w:ind w:left="0" w:right="0" w:firstLine="48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5.最高限价：223.912168万元/年</w:t>
      </w:r>
      <w:r/>
    </w:p>
    <w:p>
      <w:pPr>
        <w:ind w:left="0" w:right="0" w:firstLine="48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6.采购需求：具体要求详见招标文件第四章项目需求</w:t>
      </w:r>
      <w:r/>
    </w:p>
    <w:p>
      <w:pPr>
        <w:ind w:left="0" w:right="0" w:firstLine="48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7.合同履行期限：服务期限为一年，合同一年一签，每年服务合同期满后，经采购人考核合格，双方可协商续签本合同，最多续签两次，总服务期不超过三年。</w:t>
      </w:r>
      <w:r/>
    </w:p>
    <w:p>
      <w:pPr>
        <w:ind w:left="0" w:right="0" w:firstLine="48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8.本项目不接受联合体投标。</w:t>
      </w:r>
      <w:r/>
    </w:p>
    <w:p>
      <w:pPr>
        <w:ind w:left="0" w:right="0" w:firstLine="49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二、申请人的资格要求：</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法人或者其他组织的营业执照等证明文件，自然人的身份证明；</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1.2上一年度的财务状况报告（成立不满一年无需提供）；</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1.3具备履行合同所必需的设备和专业技术能力的书面声明；</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1.5参加政府采购活动前3年内在经营活动中没有重大违法记录的书面声明。</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1.6法律、行政法规规定的其他条件。</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1.7在“信用中国”网站查询，未被列入失信被执行人、重大税收违法失信主体名单、严重失信主体名单及其他不符合《中华人民共和国政府采购法》第二十二条规定条件的信用记录。</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1.8单位负责人为同一人或者存在直接控股、管理关系的不同供应商，不得参加同一合同项下的政府采购活动。</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w:t>
      </w:r>
      <w:r>
        <w:rPr>
          <w:rFonts w:ascii="SimSun" w:hAnsi="SimSun" w:eastAsia="SimSun" w:cs="SimSun"/>
          <w:b/>
          <w:color w:val="000000"/>
          <w:sz w:val="24"/>
        </w:rPr>
        <w:t xml:space="preserve">根据《政府采购促进中小企业发展管理办法》的规定，本项目为专门面向中小企业采购的项目，投标供应商必须为中小微企业，不接受非中小微企业参与本项目的投标，投标人提交投标文件时须提供《中小企业声明函》，并加盖公章，《中小企业声明函》不符合要求或未提供的，投标文件无效。</w:t>
      </w:r>
      <w:r/>
    </w:p>
    <w:p>
      <w:pPr>
        <w:ind w:left="0" w:right="0" w:firstLine="560"/>
        <w:jc w:val="both"/>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w:t>
      </w:r>
      <w:r>
        <w:rPr>
          <w:rFonts w:ascii="SimSun" w:hAnsi="SimSun" w:eastAsia="SimSun" w:cs="SimSun"/>
          <w:color w:val="333333"/>
          <w:sz w:val="24"/>
          <w:highlight w:val="white"/>
        </w:rPr>
        <w:t xml:space="preserve">无</w:t>
      </w:r>
      <w:r/>
    </w:p>
    <w:p>
      <w:pPr>
        <w:ind w:left="0" w:right="0" w:firstLine="49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1.时间</w:t>
      </w:r>
      <w:r>
        <w:rPr>
          <w:rFonts w:ascii="SimSun" w:hAnsi="SimSun" w:eastAsia="SimSun" w:cs="SimSun"/>
          <w:color w:val="000000"/>
          <w:sz w:val="24"/>
        </w:rPr>
        <w:t xml:space="preserve">：自招标文件公告发布之日起5个工作日。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2.地点：“苏采云”系统内免费下载（投标人必须在苏采云系统中获取采购文件，方能参与政府采购项目）；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3.方式：本项目采用网上注册登记方式。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4.售价：0元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5、参与采购活动供应商插入 CA 证书登陆“苏采云”系统后选择具体项目，点击“我要参与”并签章提交《投标供应商确认函》， 提交《投标供应商确认函》日期视同为依法获取招标文件日期。供应商须打印、保留《投标供应商确认函》 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left="0" w:right="0" w:firstLine="49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四、提交投标文件截止时间、开标时间和地点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w:t>
      </w:r>
      <w:r>
        <w:rPr>
          <w:rFonts w:ascii="SimSun" w:hAnsi="SimSun" w:eastAsia="SimSun" w:cs="SimSun"/>
          <w:b/>
          <w:color w:val="000000"/>
          <w:sz w:val="24"/>
          <w:highlight w:val="cyan"/>
        </w:rPr>
        <w:t xml:space="preserve">2026年7月20日09时00分（北京时间）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2.地点：苏采云“不见面”开标大厅 。</w:t>
      </w:r>
      <w:r/>
    </w:p>
    <w:p>
      <w:pPr>
        <w:ind w:left="0" w:right="0" w:firstLine="49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五、公告期限</w:t>
      </w:r>
      <w:r/>
    </w:p>
    <w:p>
      <w:pPr>
        <w:ind w:left="0" w:right="0" w:firstLine="560"/>
        <w:jc w:val="both"/>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u w:val="none"/>
        </w:rPr>
        <w:t xml:space="preserve">自本公告发布之日起5个工作日。</w:t>
      </w:r>
      <w:r/>
    </w:p>
    <w:p>
      <w:pPr>
        <w:ind w:left="0" w:right="0" w:firstLine="49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六、其他补充事宜</w:t>
      </w:r>
      <w:r/>
    </w:p>
    <w:p>
      <w:pPr>
        <w:ind w:left="0" w:right="0" w:firstLine="560"/>
        <w:jc w:val="both"/>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left="0" w:right="0" w:firstLine="560"/>
        <w:jc w:val="both"/>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潜在供应商访问电子招标响应交易平台的网络地址和方法：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潜在投标人访问“苏采云”系统方法：江苏省政府采购网首页-“苏采云”链接。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采购文件（后缀名为“.kedt”）、供应商操作手册及政府采购客户端 工具可通过“苏采云”系统相应链接进行下载。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采购代理机构将数据电文形式的采购文件加载至“苏采云”系统，供潜在供应商下载或者查阅。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 请潜在投标单位提前安装相应的控件（详见《“苏采云”系统供应商操作手册》）并使用谷歌浏览器登录“苏采云”系统参与不见面开评标。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如潜在投标人未按上述要求操作，将自行承担所产生的风险。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3.有关本次招标的事项若存在变动或修改，敬请及时关注盐城市政府采购中心在“中国政府采购网”“江苏政府采购网”“盐城市政府采购网”发布的更正公告。</w:t>
      </w:r>
      <w:r/>
    </w:p>
    <w:p>
      <w:pPr>
        <w:ind w:left="0" w:right="0" w:firstLine="560"/>
        <w:jc w:val="both"/>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4.本次招标不收取投标保证金，不收取质量保证金。</w:t>
      </w:r>
      <w:r/>
    </w:p>
    <w:p>
      <w:pPr>
        <w:ind w:left="0" w:right="0" w:firstLine="560"/>
        <w:jc w:val="both"/>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5、电子投标文件一份（通过系统提交）；纸质投标文件正本一份，副本四份（评审结束后由中标候选人邮寄至（代理公司），未中标单位不需要提供）。</w:t>
      </w:r>
      <w:r/>
    </w:p>
    <w:p>
      <w:pPr>
        <w:ind w:left="0" w:right="0" w:firstLine="560"/>
        <w:jc w:val="both"/>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 </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七、对本次招标提出询问，请按以下方式联系。</w:t>
      </w:r>
      <w:r/>
    </w:p>
    <w:p>
      <w:pPr>
        <w:ind w:left="0" w:right="0" w:firstLine="560"/>
        <w:jc w:val="both"/>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1.采购人信息</w:t>
      </w:r>
      <w:r/>
    </w:p>
    <w:p>
      <w:pPr>
        <w:ind w:left="0" w:right="0" w:firstLine="560"/>
        <w:jc w:val="both"/>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名称：响水县南河镇人民政府 </w:t>
      </w:r>
      <w:r/>
    </w:p>
    <w:p>
      <w:pPr>
        <w:ind w:left="0" w:right="0" w:firstLine="560"/>
        <w:jc w:val="both"/>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地址：响水县南河镇王集居 </w:t>
      </w:r>
      <w:r/>
    </w:p>
    <w:p>
      <w:pPr>
        <w:ind w:left="0" w:right="0" w:firstLine="560"/>
        <w:jc w:val="both"/>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联系人：刘科长              </w:t>
      </w:r>
      <w:r/>
    </w:p>
    <w:p>
      <w:pPr>
        <w:ind w:left="0" w:right="0" w:firstLine="560"/>
        <w:jc w:val="both"/>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联系方式：13705119167            </w:t>
      </w:r>
      <w:r/>
    </w:p>
    <w:p>
      <w:pPr>
        <w:ind w:left="0" w:right="0" w:firstLine="560"/>
        <w:jc w:val="both"/>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2.采购代理机构信息</w:t>
      </w:r>
      <w:r/>
    </w:p>
    <w:p>
      <w:pPr>
        <w:ind w:left="0" w:right="0" w:firstLine="560"/>
        <w:jc w:val="both"/>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名 称：</w:t>
      </w:r>
      <w:r>
        <w:rPr>
          <w:rFonts w:ascii="SimSun" w:hAnsi="SimSun" w:eastAsia="SimSun" w:cs="SimSun"/>
          <w:color w:val="000000"/>
          <w:sz w:val="24"/>
        </w:rPr>
        <w:t xml:space="preserve">盐城润威项目管理有限公司 </w:t>
      </w:r>
      <w:r/>
    </w:p>
    <w:p>
      <w:pPr>
        <w:ind w:left="0" w:right="0" w:firstLine="560"/>
        <w:jc w:val="both"/>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地址：</w:t>
      </w:r>
      <w:r>
        <w:rPr>
          <w:rFonts w:ascii="SimSun" w:hAnsi="SimSun" w:eastAsia="SimSun" w:cs="SimSun"/>
          <w:color w:val="000000"/>
          <w:sz w:val="24"/>
        </w:rPr>
        <w:t xml:space="preserve">响水县开发区运响河东侧1幢1层</w:t>
      </w:r>
      <w:r/>
    </w:p>
    <w:p>
      <w:pPr>
        <w:ind w:left="0" w:right="0" w:firstLine="560"/>
        <w:jc w:val="both"/>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联系人：徐工   </w:t>
      </w:r>
      <w:r/>
    </w:p>
    <w:p>
      <w:pPr>
        <w:ind w:left="0" w:right="0" w:firstLine="560"/>
        <w:jc w:val="both"/>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联系方式：</w:t>
      </w:r>
      <w:r>
        <w:rPr>
          <w:rFonts w:ascii="SimSun" w:hAnsi="SimSun" w:eastAsia="SimSun" w:cs="SimSun"/>
          <w:color w:val="333333"/>
          <w:sz w:val="24"/>
          <w:highlight w:val="white"/>
          <w:u w:val="none"/>
        </w:rPr>
        <w:t xml:space="preserve">18912550728       </w:t>
      </w:r>
      <w:r>
        <w:rPr>
          <w:rFonts w:ascii="SimSun" w:hAnsi="SimSun" w:eastAsia="SimSun" w:cs="SimSun"/>
          <w:color w:val="333333"/>
          <w:sz w:val="24"/>
          <w:highlight w:val="white"/>
        </w:rPr>
        <w:t xml:space="preserve">            </w:t>
      </w:r>
      <w:r/>
    </w:p>
    <w:p>
      <w:pPr>
        <w:ind w:left="0" w:right="0" w:firstLine="560"/>
        <w:jc w:val="both"/>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3.项目联系方式</w:t>
      </w:r>
      <w:r/>
    </w:p>
    <w:p>
      <w:pPr>
        <w:ind w:left="0" w:right="0" w:firstLine="560"/>
        <w:jc w:val="both"/>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项目联系人：</w:t>
      </w:r>
      <w:r/>
    </w:p>
    <w:p>
      <w:pPr>
        <w:ind w:left="0" w:right="0" w:firstLine="560"/>
        <w:jc w:val="both"/>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电　话：徐工 18912550728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4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94"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响水县南河镇人民政府</w:t>
      </w:r>
      <w:r/>
    </w:p>
    <w:p>
      <w:pPr>
        <w:ind w:left="0" w:right="-94"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94"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u w:val="none"/>
        </w:rPr>
        <w:t xml:space="preserve">2026年6月</w:t>
      </w:r>
      <w:r>
        <w:rPr>
          <w:rFonts w:ascii="SimSun" w:hAnsi="SimSun" w:eastAsia="SimSun" w:cs="SimSun"/>
          <w:color w:val="000000"/>
          <w:sz w:val="24"/>
        </w:rPr>
        <w:t xml:space="preserve">26日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94"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44"/>
        </w:rPr>
        <w:t xml:space="preserve"> </w:t>
      </w:r>
      <w:r>
        <w:rPr>
          <w:rFonts w:ascii="SimHei" w:hAnsi="SimHei" w:eastAsia="SimHei" w:cs="SimHei"/>
          <w:b/>
          <w:color w:val="000000"/>
          <w:sz w:val="44"/>
          <w:u w:val="none"/>
        </w:rPr>
        <w:t xml:space="preserve">第二章</w:t>
      </w:r>
      <w:r>
        <w:rPr>
          <w:rFonts w:ascii="Calibri" w:hAnsi="Calibri" w:eastAsia="Calibri" w:cs="Calibri"/>
          <w:b/>
          <w:color w:val="000000"/>
          <w:sz w:val="44"/>
          <w:u w:val="none"/>
        </w:rPr>
        <w:t xml:space="preserve">  </w:t>
      </w:r>
      <w:r>
        <w:rPr>
          <w:rFonts w:ascii="SimHei" w:hAnsi="SimHei" w:eastAsia="SimHei" w:cs="SimHei"/>
          <w:b/>
          <w:color w:val="000000"/>
          <w:sz w:val="44"/>
          <w:u w:val="none"/>
        </w:rPr>
        <w:t xml:space="preserve">投标人须知</w:t>
      </w:r>
      <w:r/>
    </w:p>
    <w:p>
      <w:pPr>
        <w:pStyle w:val="848"/>
        <w:ind w:left="0" w:right="0" w:firstLine="0"/>
        <w:jc w:val="center"/>
        <w:spacing w:before="100" w:after="10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一、总则</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w:t>
      </w:r>
      <w:r>
        <w:rPr>
          <w:rFonts w:ascii="SimSun" w:hAnsi="SimSun" w:eastAsia="SimSun" w:cs="SimSun"/>
          <w:b/>
          <w:color w:val="000000"/>
          <w:sz w:val="24"/>
        </w:rPr>
        <w:t xml:space="preserve">、招标方式</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1.1本次招标采取公开招标方式，本招标文件仅适用于招标公告中所述项目。</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2、合格的</w:t>
      </w:r>
      <w:r>
        <w:rPr>
          <w:rFonts w:ascii="SimSun" w:hAnsi="SimSun" w:eastAsia="SimSun" w:cs="SimSun"/>
          <w:b/>
          <w:color w:val="000000"/>
          <w:sz w:val="24"/>
        </w:rPr>
        <w:t xml:space="preserve">供应商</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2.1满足招标公告中供应商的资格要求的规定。</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2.2满足本文件实质性要求和条件的规定。</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3、适用法律</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3.1本次招标及由此产生的合同受中华人民共和国有关的法律法规制约和保护。</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4、投标费用</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4.1投标人应自行承担所有与参加投标有关的费用，无论投标过程中的做法和结果如何，盐城润威项目管理有限公司（以下简称代理机构）在任何情况下均无义务和责任承担这些费用。</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4.2本次采购人不收取标书工本费与中标服务费。</w:t>
      </w:r>
      <w:r/>
    </w:p>
    <w:p>
      <w:pPr>
        <w:ind w:left="0" w:right="0" w:firstLine="48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5、招标文件的约束力</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5.1投标人一旦参加本项目采购活动，即被认为接受了本招标文件的规定和约束。</w:t>
      </w:r>
      <w:r/>
    </w:p>
    <w:p>
      <w:pPr>
        <w:pStyle w:val="848"/>
        <w:ind w:left="0" w:right="0" w:firstLine="0"/>
        <w:jc w:val="center"/>
        <w:spacing w:before="100" w:after="10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二、招标文件</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6、招标文件构成</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3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（1）招标公告</w:t>
      </w:r>
      <w:r/>
    </w:p>
    <w:p>
      <w:pPr>
        <w:ind w:left="0" w:right="0" w:firstLine="3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3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3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3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3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请仔细检查招标文件是否齐全，如有缺漏请立即与代理机构联系解决。</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8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7、招标文件的澄清</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7.1任何要求对招标文件进行澄清的投标人，应在投标截止期</w:t>
      </w:r>
      <w:r>
        <w:rPr>
          <w:rFonts w:ascii="SimSun" w:hAnsi="SimSun" w:eastAsia="SimSun" w:cs="SimSun"/>
          <w:b/>
          <w:color w:val="000000"/>
          <w:sz w:val="24"/>
        </w:rPr>
        <w:t xml:space="preserve">十日</w:t>
      </w:r>
      <w:r>
        <w:rPr>
          <w:rFonts w:ascii="SimSun" w:hAnsi="SimSun" w:eastAsia="SimSun" w:cs="SimSun"/>
          <w:color w:val="000000"/>
          <w:sz w:val="24"/>
        </w:rPr>
        <w:t xml:space="preserve">前按招标公告中的通讯地址，以书面形式通知代理机构。</w:t>
      </w:r>
      <w:r/>
    </w:p>
    <w:p>
      <w:pPr>
        <w:ind w:left="0" w:right="0" w:firstLine="48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8、招标文件的修改</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8.1在投标截止时间前，代理机构可以对招标文件进行修改。</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8.2代理机构有权按照法定的要求推迟投标截止日期和开标日期。</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8.3招标文件的澄清或者修改的内容将在江苏政府采购网、盐城市政府采购网公布，澄清或者修改的内容将作为招标文件的组成部分，并对供应商具有约束力。</w:t>
      </w:r>
      <w:r/>
    </w:p>
    <w:p>
      <w:pPr>
        <w:pStyle w:val="848"/>
        <w:ind w:left="0" w:right="0" w:firstLine="0"/>
        <w:jc w:val="center"/>
        <w:spacing w:before="100" w:after="10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三、投标文件的编制</w:t>
      </w:r>
      <w:r/>
    </w:p>
    <w:p>
      <w:pPr>
        <w:ind w:left="0" w:right="0" w:firstLine="48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9、投标文件的语言及度量衡单位</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9.1供应商提交的投标文件以及供应商与代理机构就有关投标的所有来往通知、函件和文件均应使用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9.2除技术性能另有规定外，投标文件所使用的度量衡单位，均须采用国家法定计量单位。</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10、投标文件构成</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10.1投标人编写的投标文件应包括资格证明文件、符合性证明文件、投标分项报价表、技术要求响应及偏离表、商务要求响应及偏离表、其他证明文件、投标函、开标一览表等部分。</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10.2如标书制作工具中格式和内容与</w:t>
      </w:r>
      <w:r>
        <w:rPr>
          <w:rFonts w:ascii="SimSun" w:hAnsi="SimSun" w:eastAsia="SimSun" w:cs="SimSun"/>
          <w:color w:val="333333"/>
          <w:sz w:val="24"/>
          <w:highlight w:val="white"/>
        </w:rPr>
        <w:t xml:space="preserve">“</w:t>
      </w:r>
      <w:r>
        <w:rPr>
          <w:rFonts w:ascii="SimSun" w:hAnsi="SimSun" w:eastAsia="SimSun" w:cs="SimSun"/>
          <w:color w:val="000000"/>
          <w:sz w:val="24"/>
        </w:rPr>
        <w:t xml:space="preserve">中国政府采购网”“江苏政府采购网”“盐城市政府采购网”发布的招标文件不一致，请以</w:t>
      </w:r>
      <w:r>
        <w:rPr>
          <w:rFonts w:ascii="SimSun" w:hAnsi="SimSun" w:eastAsia="SimSun" w:cs="SimSun"/>
          <w:color w:val="333333"/>
          <w:sz w:val="24"/>
          <w:highlight w:val="white"/>
        </w:rPr>
        <w:t xml:space="preserve">“</w:t>
      </w:r>
      <w:r>
        <w:rPr>
          <w:rFonts w:ascii="SimSun" w:hAnsi="SimSun" w:eastAsia="SimSun" w:cs="SimSun"/>
          <w:color w:val="000000"/>
          <w:sz w:val="24"/>
        </w:rPr>
        <w:t xml:space="preserve">中国政府采购网”“江苏政府采购网”“盐城市政府采购网”发布的招标文件为准。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11、证明投标人及投标标的符合招标文件规定的文件</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  11.1投标人应按照法律、法规、规章和规范性文件以及招标文件要求提交证明文件，证明其及投标标的符合招标文件规定。</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11.2招标文件对证明文件无明确形式要求的，证明文件可以以文字资料、图纸和数据等形式提交。</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12、投标分项报价</w:t>
      </w:r>
      <w:r>
        <w:rPr>
          <w:rFonts w:ascii="SimSun" w:hAnsi="SimSun" w:eastAsia="SimSun" w:cs="SimSun"/>
          <w:b/>
          <w:color w:val="000000"/>
          <w:sz w:val="24"/>
          <w:u w:val="none"/>
        </w:rPr>
        <w:t xml:space="preserve">表</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12.1投</w:t>
      </w:r>
      <w:r>
        <w:rPr>
          <w:rFonts w:ascii="SimSun" w:hAnsi="SimSun" w:eastAsia="SimSun" w:cs="SimSun"/>
          <w:color w:val="000000"/>
          <w:sz w:val="24"/>
          <w:u w:val="none"/>
        </w:rPr>
        <w:t xml:space="preserve">标人应按照招标文件规定格式填报投标分项报价表。</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12.2投标货币。投标文件中的单价和总价无特殊规定的采用人民币报价，以元为单位标注。招标文件中另有规定的按规定执行。</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投标报价应包含所有人员工资；人身意外险费；符合法定条件人员社会保险、公积金；法定节假日加班费；意外伤害保险；服务所需设备和车辆（购置或租金）、年审费、燃油费、保险费、维修保养费等；垃圾清运费；高温补贴费；服装及劳动保障用品费用；保洁工具、耗材费用；不可预见费；综合管理费及税金等。</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合同期限内，如因响水县从业人员最低工资标准提高或人社部门社会保险基数调整，其差额部分及相关税管费等由采购人按月支付中标人。</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人员工资及相关费用测算依据：所有人员工资不得低于盐城市响水县最新公布的最低工资标准（2180元/人*月）；符合法定年龄人员必须足额缴纳社保费用，社保费用应执行苏人社发〔2025〕33号《关于发布2025年度社会保险有关基数的通知》，社保（企业部分）不得低于上述文件标准及规定险种（规定险种为“五险”，指养老保险金16%、医疗保险金8%、工伤保险金0.7%、生育保险金0.9%、失业保险金0.5%），即不得低于1292.47元/人*月；住房公积金不得低于110元/人*月；法定节假日加班费不得低于3908.</w:t>
      </w:r>
      <w:r>
        <w:rPr>
          <w:rFonts w:ascii="SimSun" w:hAnsi="SimSun" w:eastAsia="SimSun" w:cs="SimSun"/>
          <w:color w:val="000000"/>
          <w:sz w:val="24"/>
        </w:rPr>
        <w:t xml:space="preserve">97元/人*年，每年法定节假日加班天数13天，因环卫行业的特殊性，项目所有人员在13天法定节假日全员上班；高温补贴费不低于1200元/人*年；税金费率统一按6.72%进行报价，税金包含增值税、城市维护建设税、教育费附加等。最终结算时，增值税税率按实际票面税率计算，城市维护建设税和教育费附加等按其相关政策性文件规定的计费方式和费率计算。具体详见《投标分项报价表》格式。</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所提供人员的费用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13、技术要求响应及偏离表、商务要求响应及偏离表</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13.1供应商需对招标文件中的技术要求与商务要求逐项作出响应或偏离，并说明原因。</w:t>
      </w:r>
      <w:r/>
    </w:p>
    <w:p>
      <w:pPr>
        <w:ind w:left="0" w:right="0" w:firstLine="480"/>
        <w:jc w:val="both"/>
        <w:spacing w:before="240" w:after="240" w:line="85" w:lineRule="atLeast"/>
        <w:tabs>
          <w:tab w:val="left" w:pos="103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13.2供应商可在投标文件中提供认为需要的其他技术文件或说明。</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14、投标函和开标一览表</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14.1供应商应按照招标文件中提供的格式完整、正确填写投标函、开标一览表。</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14.2对于采用货币报价的项目，开标一览表中的投标总报价应与投标分项报价表中的投标总报价一致，如不一致，不作为无效投标处理，但评标时按开标一览表中价格为准</w:t>
      </w:r>
      <w:r>
        <w:rPr>
          <w:rFonts w:ascii="SimSun" w:hAnsi="SimSun" w:eastAsia="SimSun" w:cs="SimSun"/>
          <w:b/>
          <w:color w:val="000000"/>
          <w:sz w:val="24"/>
        </w:rPr>
        <w:t xml:space="preserve">。</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15、投标有效期</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15.1投标有效期为代理机构规定的开标之日后</w:t>
      </w:r>
      <w:r>
        <w:rPr>
          <w:rFonts w:ascii="SimSun" w:hAnsi="SimSun" w:eastAsia="SimSun" w:cs="SimSun"/>
          <w:b/>
          <w:color w:val="000000"/>
          <w:sz w:val="24"/>
          <w:u w:val="single"/>
        </w:rPr>
        <w:t xml:space="preserve">九十（90）天</w:t>
      </w:r>
      <w:r>
        <w:rPr>
          <w:rFonts w:ascii="SimSun" w:hAnsi="SimSun" w:eastAsia="SimSun" w:cs="SimSun"/>
          <w:color w:val="000000"/>
          <w:sz w:val="24"/>
        </w:rPr>
        <w:t xml:space="preserve">。投标有效期比规定短的将被视为未实质性响应招标文件而予以拒绝。</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16、投标有效期的延长</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在特殊情况下，代理机构于原投标有效期满之前，可向供应商提出延长投标有效期的要求。这种要求与答复均应采用书面形式。供应商可以拒绝代理机构的这一要求而放弃投标。同意延长投标有效期的供应商既不能要求也不允许修改其投标文件，同时受投标有效期约束的所有权利与义务均延长至新的有效期。</w:t>
      </w:r>
      <w:r/>
    </w:p>
    <w:p>
      <w:pPr>
        <w:pStyle w:val="848"/>
        <w:ind w:left="0" w:right="0" w:firstLine="0"/>
        <w:jc w:val="center"/>
        <w:spacing w:before="100" w:after="10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四、投标文件的递交</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17、投标文件</w:t>
      </w:r>
      <w:r>
        <w:rPr>
          <w:rFonts w:ascii="SimSun" w:hAnsi="SimSun" w:eastAsia="SimSun" w:cs="SimSun"/>
          <w:b/>
          <w:color w:val="000000"/>
          <w:sz w:val="24"/>
        </w:rPr>
        <w:t xml:space="preserve">的递交</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电子投标文件的递交</w:t>
      </w:r>
      <w:r/>
    </w:p>
    <w:p>
      <w:pPr>
        <w:ind w:left="525"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供应商应当按照《操作手册》规定，在投标截止时间前制作并上传电子投标文件。</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18、投标截止时间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18.1供应商上传电子投标文件的时间不得迟于招标公告中规定的投标截止时间。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供应商应充分考虑到网络环境、网络带宽等风险因素，如因供应商自身原因，造成的电子投标文件上传不成功的，按照本招标文件第二章第26.1.2条规定做无效投标处理。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18.2代理机构可以按照规定，通过修改招标文件，酌情延长投标截止时间，在此情况下，供应商的所有权利和义务以及供应商受制的截止时间，均应以延长后新的截止时间为准。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19、投标文件的拒收</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19.1代理机构拒绝接收在其规定的投标截止时间后上传的任何投标文件。</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20、投标文件的撤回和修改</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20.1投标文件的撤回</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20.1.1电子投标文件的撤回</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20.1.2供应商撤回电子投标文件，则认为其不再参与本项目投标活动。</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投标文件的修改</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20.2.1供应商可在投标截止时间前，对其电子投标文件进行修改，具体操作方法见《操作手册》。</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20.2.2在投标截止时间之后，供应商不得对其电子投标文件作任何修改。</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20.3在投标截止时间至招标文件中规定的投标有效期满之间的这段时间内，供应商不得撤回其投标。</w:t>
      </w:r>
      <w:r/>
    </w:p>
    <w:p>
      <w:pPr>
        <w:pStyle w:val="848"/>
        <w:ind w:left="0" w:right="0" w:firstLine="0"/>
        <w:jc w:val="center"/>
        <w:spacing w:before="100" w:after="10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五、开标与评标</w:t>
      </w:r>
      <w:r/>
    </w:p>
    <w:p>
      <w:pPr>
        <w:ind w:left="0" w:right="0" w:firstLine="48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21、开标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21.1代理机构将在招标公告中规定的时间和地点组织公开开标。供应商应当按照《操作手册》规定，参加开标活动和在苏采云系统规定的时间内对投标文件进行解密。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21.2开标仪式由代理机构组织。苏采云系统将自动对项目进行开标，并宣布各供应商名称和投标价格。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21.3供应商在开标过程中涉及到的投标文件解密、开标结果确认等工作，应按照《操作手册》规定执行。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21.4供应商如果对开标过程和开标记录有疑义，应当根据《操作手册》规定提出，如苏采云系统中《开标记录表》宣布后5分钟内未提出的，视同认可开标结果。</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22、评标委员会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22.1开标后，代理机构将立即组织评标委员会（以下简称评委会）进行评标。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22.2评委会由采购人代表和有关技术、经济等方面的专家组成，且人员构成符合政府采购有关规定。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22.3评委会独立工作，负责评审所有投标文件并确定中标侯选人。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23、评标过程的保密与公正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23.1凡是与审查、澄清、评价和比较投标的有关资料以及授标建议等，采购人、评委、代理机构均不得向供应商或与评标无关的其他人员透露。</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23.2在评标过程中，供应商不得以任何行为影响评标过程，否则其投标文件将被作为无效投标文件。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23.3代理机构和评标委员会不向未中标的供应商解释未中标原因，也不公布评标过程中的相关细节。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23.4采用综合评分法的项目，未中标的供应商可于中标结果公告期限届满之日起通过苏采云系统查看自己的评审得分及排序情况。</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24、投标文件的澄清</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24.1评标期间，评委会对投标文件中含义不明确、同类问题表述不一致或者有明显文字和计算错误的内容 ，有权要求投标人作出必要的澄清、说明或者补正。</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24.3接到评委会澄清、说明和补正要求的投标人如未按规定作出澄清、说明和补正，其风险由投标人自行承担。</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25、对投标文件的初审</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25.1投标文件初审分为资格审查和符合性审查。</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25.1.1资格审查：依据法律法规和招标文件的规定，由采购人对投标文件中的资格证明文件进行审查。资格审查的结论，采购人以书面形式向评委会进行反馈。</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采购人在进行资格性审查的同时，将在“信用中国”网站（www.creditchina.gov.cn）查询投标人的信用记录，以确定投标人是否具备投标资格,查询结果留存并归档。</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25.1.2符合性审查：依据招标文件的规定，由评委会从投标文件的有效性、完整性和对招标文件的响应程度进行审查，以确定是否对招标文件的实质性要求作出响应。</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25.1.3未通过资格审查或符合性审查的投标人，代理机构将在苏采云系统中告知未通过资格审查或符合性审查的原因，评标结束后，代理机构将不再告知未通过资格审查和符合性审查的原因。</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25.3如果投标文件实质上没有响应招标文件的要求，评委会将予以拒绝，投标人不得通过修改或撤销不合要求的偏离或保留而使其投标成为实质性响应的投标。</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25.4评委会将对确定为实质性响应的投标进行进一步审核，确定其是否有计算上或累加上的算术错误，修正错误的原则如下：</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25.5评委会将按上述修正错误的方法调整投标文件中的投标报价，并通过苏采云系统告知供应商，调整后的价格应对投标人具有约束力。如果供应商不接受修正后的价格，则其投标将被拒绝。</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25.6</w:t>
      </w:r>
      <w:r>
        <w:rPr>
          <w:rFonts w:ascii="SimSun" w:hAnsi="SimSun" w:eastAsia="SimSun" w:cs="SimSun"/>
          <w:color w:val="000000"/>
          <w:sz w:val="24"/>
        </w:rPr>
        <w:t xml:space="preserve">供应商在开、评标全过程中应保持通信畅通，及时登录苏采云系统查阅、答复相关信息，并安排专人与代理机构及评标委员会联系。</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26、无效投标条款和废标条款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26.1无效投标条款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26.1.1供应商在苏采云系统规定的时间内未成功解密电子投标文件的。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26.1.2供应商未按照招标文件要求上传电子投标文件的。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26.1.3同一供应商提交两个（含两个）以上不同的投标报价的。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26.1.4供应商不具备招标文件中规定资格要求的。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26.1.5供应商的报价超过了采购预算或最高限价的。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26.1.6未通过符合性审查的。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26.1.7不符合招标文件中规定的实质性要求和条件的</w:t>
      </w:r>
      <w:r>
        <w:rPr>
          <w:rFonts w:ascii="SimSun" w:hAnsi="SimSun" w:eastAsia="SimSun" w:cs="SimSun"/>
          <w:i/>
          <w:color w:val="000000"/>
          <w:sz w:val="24"/>
          <w:u w:val="single"/>
        </w:rPr>
        <w:t xml:space="preserve">（本招标文件中斜体且有下划线部分为实质性要求和条件）。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26.1.8供应商被“信用中国”网站（www.creditchina.gov.cn）列入失信被执行人或重大税收违法失信主体名单或严重失信主体名单。或查询“信用中国”网站后发现供应商存在其他不符合《中华人民共和国政府采购法》第二十二条规定条件的信用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26.1.9投标文件含有采购人不能接受的附加条件的。</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26.1.10投标人不能证明其报价合理性的，评标委员会应当将其作为无效投标处理。</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（一）评审过程中出现下列情形之一的，评标委员会应当启动异常低价投标（响应）审查程序：</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1.投标(响应)报价低于全部通过符合性审查供应商投标(响应)报价平均值50%的，即投标(响应)报价&lt;全部通过符合性审查供应商投标(响应)报价平均值×50%；</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2.投标(响应)报价低于通过符合性审查的次低报价供应商投标(响应)报价50%的，即投标(响应)报价&lt;通过符合性审查的次低报价供应商投标(响应)报价×50%;</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3.投标(响应)报价低于采购项目最高限价45%的，即投标(响应)报价&lt;采购项目最高限价×45%;</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4.评审委员会基于专业判断，认为供应商报价过低，有可能影响产品质量或者不能诚信履约的其他情形。</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采购人可以结合具体项目实际情况，提高上述第1项至第3项中启动异常低价投标(响应)审查的数值标准，但是最高不得超过65%。</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相关法律法规对供应商报价有规定的，从其规定。</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26.1.11投标文件未按照招标文件要求加盖CA电子公章的。</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26.1.12其他法律、法规及本招标文件规定的属无效投标的情形。</w:t>
      </w:r>
      <w:r/>
    </w:p>
    <w:p>
      <w:pPr>
        <w:ind w:left="479"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26.2废标条款</w:t>
      </w:r>
      <w:r/>
    </w:p>
    <w:p>
      <w:pPr>
        <w:ind w:left="479"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26.2.1符合专业条件的供应商或者对招标文件作实质响应的供应商不足三家的。</w:t>
      </w:r>
      <w:r/>
    </w:p>
    <w:p>
      <w:pPr>
        <w:ind w:left="479"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26.2.2出现影响采购公正的违法、违规行为的。</w:t>
      </w:r>
      <w:r/>
    </w:p>
    <w:p>
      <w:pPr>
        <w:ind w:left="479"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26.2.3因重大变故，采购任务取消的。</w:t>
      </w:r>
      <w:r/>
    </w:p>
    <w:p>
      <w:pPr>
        <w:ind w:left="479"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26.2.4评标委员会认定招标文件存在歧义、重大缺陷导致评审工作无法进行。</w:t>
      </w:r>
      <w:r/>
    </w:p>
    <w:p>
      <w:pPr>
        <w:ind w:left="479"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26.2.5因苏采云系统系统故障原因造成开标不成功的。</w:t>
      </w:r>
      <w:r/>
    </w:p>
    <w:p>
      <w:pPr>
        <w:ind w:left="479"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投标截止时间结束后参加投标的供应商不足三家的处理：</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26.3.1如出现投标截止时间结束后参加投标的供应商或者在评标期间对招标文件做出实质响应的供应商不足三家情况，按政府采购相关规定执行。</w:t>
      </w:r>
      <w:r/>
    </w:p>
    <w:p>
      <w:pPr>
        <w:pStyle w:val="848"/>
        <w:ind w:left="0" w:right="0" w:firstLine="0"/>
        <w:jc w:val="center"/>
        <w:spacing w:before="100" w:after="10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六、定标</w:t>
      </w:r>
      <w:r/>
    </w:p>
    <w:p>
      <w:pPr>
        <w:ind w:left="0" w:right="0" w:firstLine="48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27、</w:t>
      </w:r>
      <w:r>
        <w:rPr>
          <w:rFonts w:ascii="SimSun" w:hAnsi="SimSun" w:eastAsia="SimSun" w:cs="SimSun"/>
          <w:b/>
          <w:color w:val="000000"/>
          <w:sz w:val="24"/>
        </w:rPr>
        <w:t xml:space="preserve">确定中标单位</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27.1中标候选人的选取原则和数量见招标文件第五章规定。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27.2采购人应根据评委会推荐的中标候选人确定中标人。</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27.3采购人将在“中国政府采购网”“江苏政府采购网”“盐城市政府采购网”发布中标公告，公告期限为1个工作日。</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27.4若有充分证据证明，中标人出现下列情况之一的，一经查实，将被取消中标资格：</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27.4.1提供虚假材料谋取中标的。</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27.4.2向采购人行贿或者提供其他不正当利益的。</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27.4.3属于本文件规定的无效条件，但在评标过程中又未被评委会发现的。</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27.4.4与采购人或者其他供应商恶意串通的。</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27.4.5采取不正当手段诋毁、排挤其他供应商的。</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 有下列情形之一的，视为投标人串通投标，投标无效：</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27.5.1不同投标人的投标文件由同一单位或者个人编制。</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27.5.2不同投标人委托同一单位或者个人办理投标事宜。</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27.5.3不同投标人的投标文件载明的项目管理成员或者联系人员为同一人。</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27.5.4不同投标人的投标文件异常一致或者投标报价呈规律性差异。</w:t>
      </w:r>
      <w:r/>
    </w:p>
    <w:p>
      <w:pPr>
        <w:ind w:left="0" w:right="0" w:firstLine="48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28、质疑处理</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28.1提出质疑的供应商应当是参与所质疑项目采购活动的供应商。潜在供应商依法获取其可质疑的采购文件的，可以对采购文件提出质疑。</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供应商认为采购文件、采购过程和采购结果使自己的权益受到损害的，可以在知道或应知其权益受到损害之日起七个工作日内，以书面形式根据下述28.4条款的规定向代理机构或采购人提出质疑。上述应知其权益受到损害之日，是指：</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28.2.1对可以质疑的采购文件提出质疑的，为收到采购文件之日或者采购文件公告期限届满之日；</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28.2.2对采购过程提出质疑的，为各采购程序环节结束之日；</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28.2.3对中标或者成交结果提出质疑的，为中标或者成交结果公告期限届满之日。</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供应商（含潜在供应商）对采购方式、采购需求、供应商资格条件及审查结果、评审方法和评审标准、合同文本的询问、质疑请向采购人提出，由采购人负责答复。供应商对除上述事项以外其他事项的询问、质疑请向代理机构提出，由代理机构负责答复。</w:t>
      </w:r>
      <w:r/>
    </w:p>
    <w:p>
      <w:pPr>
        <w:ind w:left="0" w:right="0" w:firstLine="480"/>
        <w:spacing w:before="0" w:after="0" w:line="85" w:lineRule="atLeast"/>
        <w:tabs>
          <w:tab w:val="left" w:pos="133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代理机构及采购人只接收以纸质原件形式送达的质疑,采购人和代理机构不接受未填写快递运单的快件。质疑接收部门为</w:t>
      </w:r>
      <w:r>
        <w:rPr>
          <w:rFonts w:ascii="SimSun" w:hAnsi="SimSun" w:eastAsia="SimSun" w:cs="SimSun"/>
          <w:b/>
          <w:color w:val="000000"/>
          <w:sz w:val="24"/>
        </w:rPr>
        <w:t xml:space="preserve">盐城润威项目管理有限公司（代理公司）</w:t>
      </w:r>
      <w:r>
        <w:rPr>
          <w:rFonts w:ascii="SimSun" w:hAnsi="SimSun" w:eastAsia="SimSun" w:cs="SimSun"/>
          <w:color w:val="000000"/>
          <w:sz w:val="24"/>
        </w:rPr>
        <w:t xml:space="preserve">，联系地址：</w:t>
      </w:r>
      <w:r>
        <w:rPr>
          <w:rFonts w:ascii="SimSun" w:hAnsi="SimSun" w:eastAsia="SimSun" w:cs="SimSun"/>
          <w:b/>
          <w:color w:val="000000"/>
          <w:sz w:val="24"/>
        </w:rPr>
        <w:t xml:space="preserve">盐城市响水县兴业南路与双园路交叉口西150米和通门业展示厅</w:t>
      </w:r>
      <w:r>
        <w:rPr>
          <w:rFonts w:ascii="SimSun" w:hAnsi="SimSun" w:eastAsia="SimSun" w:cs="SimSun"/>
          <w:color w:val="000000"/>
          <w:sz w:val="24"/>
        </w:rPr>
        <w:t xml:space="preserve"> ，联系电话：</w:t>
      </w:r>
      <w:r>
        <w:rPr>
          <w:rFonts w:ascii="SimSun" w:hAnsi="SimSun" w:eastAsia="SimSun" w:cs="SimSun"/>
          <w:b/>
          <w:color w:val="000000"/>
          <w:sz w:val="24"/>
        </w:rPr>
        <w:t xml:space="preserve">18912550728</w:t>
      </w:r>
      <w:r>
        <w:rPr>
          <w:rFonts w:ascii="SimSun" w:hAnsi="SimSun" w:eastAsia="SimSun" w:cs="SimSun"/>
          <w:color w:val="000000"/>
          <w:sz w:val="24"/>
        </w:rPr>
        <w:t xml:space="preserve">。</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 以下情形的质疑不予受理</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28.5.1内容不符合《政府采购质疑和投诉办法》第十二条规定的质疑。</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28.5.2超出政府采购法定期限的质疑。</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28.5.3以传真、电子邮件等方式递交的非原件形式的质疑。</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28.5.4未参加投标活动的供应商或在投标活动中自身权益未受到损害的供应商所提出的质疑。</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28.5.5供应商组成联合体参加投标，联合体中任何一方或多方未按要求签字、盖章、加盖公章的质疑。</w:t>
      </w:r>
      <w:r/>
    </w:p>
    <w:p>
      <w:pPr>
        <w:ind w:left="0" w:right="0" w:firstLine="46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left="0" w:right="0" w:firstLine="60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29、中标通知书</w:t>
      </w:r>
      <w:r/>
    </w:p>
    <w:p>
      <w:pPr>
        <w:ind w:left="0" w:right="0" w:firstLine="60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l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60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29.2中标通知书将是合同的一个组成部分。对采购人和中标人均具有法律效力。中标通知书发出后，采购人改变中标结果的，或者中标人放弃中标项目的，应当依法承担法律责任。</w:t>
      </w:r>
      <w:r/>
    </w:p>
    <w:p>
      <w:pPr>
        <w:pStyle w:val="848"/>
        <w:ind w:left="0" w:right="0" w:firstLine="0"/>
        <w:jc w:val="center"/>
        <w:spacing w:before="100" w:after="10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七、授予合同</w:t>
      </w:r>
      <w:r/>
    </w:p>
    <w:p>
      <w:pPr>
        <w:ind w:left="0" w:right="0" w:firstLine="60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30.签订合同</w:t>
      </w:r>
      <w:r/>
    </w:p>
    <w:p>
      <w:pPr>
        <w:ind w:left="0" w:right="0" w:firstLine="60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30.l中标人应当在中标通知书发出之日起三十日内，按照招标文件确定的事项与采购人签订政府采购合同。</w:t>
      </w:r>
      <w:r/>
    </w:p>
    <w:p>
      <w:pPr>
        <w:ind w:left="0" w:right="0" w:firstLine="60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30.2招标文件、中标人的投标文件及招标过程中有关澄清、承诺文件均应作为合同附件。</w:t>
      </w:r>
      <w:r/>
    </w:p>
    <w:p>
      <w:pPr>
        <w:ind w:left="0" w:right="0" w:firstLine="60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30.3签订合同后，</w:t>
      </w:r>
      <w:r>
        <w:rPr>
          <w:rFonts w:ascii="SimSun" w:hAnsi="SimSun" w:eastAsia="SimSun" w:cs="SimSun"/>
          <w:i/>
          <w:color w:val="000000"/>
          <w:sz w:val="24"/>
          <w:u w:val="single"/>
        </w:rPr>
        <w:t xml:space="preserve">中标人不得将合同标的进行转包</w:t>
      </w:r>
      <w:r>
        <w:rPr>
          <w:rFonts w:ascii="SimSun" w:hAnsi="SimSun" w:eastAsia="SimSun" w:cs="SimSun"/>
          <w:color w:val="000000"/>
          <w:sz w:val="24"/>
        </w:rPr>
        <w:t xml:space="preserve">。未经采购人同意，中标人也不得采用分包的形式履行合同，否则采购人有权终止合同。转包或分包造成采购人损失的，中标人应承担相应赔偿责任。</w:t>
      </w:r>
      <w:r/>
    </w:p>
    <w:p>
      <w:pPr>
        <w:ind w:left="0" w:right="0" w:firstLine="48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31、服务（包含与服务相关的货物）的追加</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left="0" w:right="0" w:firstLine="60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32.政府采购政策功能落实</w:t>
      </w:r>
      <w:r/>
    </w:p>
    <w:p>
      <w:pPr>
        <w:ind w:left="0" w:right="0" w:firstLine="60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32.1政府采购线上合同信用融资政策</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left="0" w:right="0" w:firstLine="482"/>
        <w:jc w:val="both"/>
        <w:spacing w:before="0" w:after="0" w:line="85" w:lineRule="atLeast"/>
        <w:tabs>
          <w:tab w:val="left" w:pos="138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32.2进口产品</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right="0" w:firstLine="482"/>
        <w:jc w:val="both"/>
        <w:spacing w:before="0" w:after="0" w:line="85" w:lineRule="atLeast"/>
        <w:tabs>
          <w:tab w:val="left" w:pos="138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32.3中小企业、监狱企业及残疾人福利性单位</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32.3.1中小企业定义：</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w:t>
      </w:r>
      <w:r>
        <w:rPr>
          <w:rFonts w:ascii="SimSun" w:hAnsi="SimSun" w:eastAsia="SimSun" w:cs="SimSun"/>
          <w:color w:val="000000"/>
          <w:sz w:val="24"/>
        </w:rPr>
        <w:t xml:space="preserve">6 号）。</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32.3.2供应商提供的货物、工程或者服务符合下列情形的，享受中小企业扶持政策：</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32.3.2.1在货物采购项目中，货物由中小企业制造，即货物由中小企业生产且使用该中小企业商号或者注册商标；</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32.3.2.2在工程采购项目中，工程由中小企业承建，即工程施工单位为中小企业；</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32.3.2.3在服务采购项目中，服务由中小企业承接，即提供服务的人员为中小企业依照《中华人民共和国劳动合同法》订立劳动合同的从业人员。</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32.3.3在货物采购项目中，供应商提供的货物既有中小企业制造货物，也有大型企业制造货物的，不享受中小企业扶持政策。</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32.3.4以联合体形式参加政府采购活动，联合体各方均为中小企业的，联合体视同中小企业。其中，联合体各方均为小微企业的，联合体视同小微企业。</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32.3.6残疾人福利单位定义：享受政府采购支持政策的残疾人福利性单位应当同时满足以下条件：</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32.3.6.1安置的残疾人占本单位在职职工人数的比例不低于25%（含25%），并且安置的残疾人人数不少于10 人（含10 人）；</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32.3.6.2依法与安置的每位残疾人签订了一年以上（含一年）的劳动合同或服务协议；</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32.3.6.3为安置的每位残疾人按月足额缴纳了基本养老保险、基本医疗保险、失业保险、工伤保险和生育保险等社会保险费；</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32.3.6.4通过银行等金融机构向安置的每位残疾人，按月支付了不低于单位所在区县适用的经省级人民政府批准的月最低工资标准的工资；</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32.3.6.5提供本单位制造的货物、承担的工程或者服务（以下简称产品），或者提供其他残疾人福利性单位制造的货物（不包括使用非残疾人福利性单位注册商标的货物）；</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32.3.7本项目是否专门面向中小企业预留采购份额见第一章《招标公告》。</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32.3.8采购标的对应的中小企业划分标准所属行业见第四章《采购需求》。</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32.3.9小微企业价格评审优惠的政策：见第五章《评标方法和评标标准》。</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32.4政府采购节能产品、环境标志产品</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w:t>
      </w:r>
      <w:r>
        <w:rPr>
          <w:rFonts w:ascii="SimSun" w:hAnsi="SimSun" w:eastAsia="SimSun" w:cs="SimSun"/>
          <w:color w:val="000000"/>
          <w:sz w:val="24"/>
        </w:rPr>
        <w:t xml:space="preserve">应当优先采购节能产品、环境标志产品。</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32.5绿色包装</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right="0" w:firstLine="482"/>
        <w:jc w:val="both"/>
        <w:spacing w:before="0" w:after="0" w:line="85" w:lineRule="atLeast"/>
        <w:tabs>
          <w:tab w:val="left" w:pos="138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32.6政府采购创新产品</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采购人优先采购各级政府部门公开发布的有效期内的创新产品、创新服务、首台套、首购首用等《目录》的创新产品。</w:t>
      </w:r>
      <w:r/>
    </w:p>
    <w:p>
      <w:pPr>
        <w:ind w:left="0" w:right="0" w:firstLine="482"/>
        <w:jc w:val="both"/>
        <w:spacing w:before="0" w:after="0" w:line="85" w:lineRule="atLeast"/>
        <w:tabs>
          <w:tab w:val="left" w:pos="138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32.7绿色数据中心政策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w:t>
      </w:r>
      <w:r>
        <w:rPr>
          <w:rFonts w:ascii="SimSun" w:hAnsi="SimSun" w:eastAsia="SimSun" w:cs="SimSun"/>
          <w:color w:val="000000"/>
          <w:sz w:val="24"/>
        </w:rPr>
        <w:t xml:space="preserve">涉及生产过程或检测时间长等原因，不能在验收过程中开展检测、认证的，可要求供应商在验收阶段提供相关检测报告、认证报告。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32.8实施本国产品标准及相关政策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32.8.1.本项目对采购本国产品给予政策支持，具体内容见招标文件“第五章 评标方法与评标标准”。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32.8.2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32.8.3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82"/>
        <w:jc w:val="both"/>
        <w:spacing w:before="0" w:after="0" w:line="85" w:lineRule="atLeast"/>
        <w:tabs>
          <w:tab w:val="left" w:pos="138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32.9履约保证金政策</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确需收取履约保证金的，履约保证金的缴纳形式：</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如以履约保函（保险）形式缴纳履约保证金，供应商可通过政府采购电子履约保函（保险）平台（www.jsdzbh.com）在线申请履约保函（保险）。</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预付款制度</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本项目落实预付款制度，预付款比例为___%（原则上不低于合同金额的30%）。在签订合同时，中标、成交供应商明确书面表示无需预付款或者主动要求降低预付款比例的，采购人可就预付款比例作相应调整。</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847"/>
        <w:ind w:left="0" w:right="0" w:firstLine="0"/>
        <w:jc w:val="center"/>
        <w:spacing w:before="100" w:after="100" w:line="6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第三章</w:t>
      </w:r>
      <w:r>
        <w:rPr>
          <w:rFonts w:ascii="Calibri" w:hAnsi="Calibri" w:eastAsia="Calibri" w:cs="Calibri"/>
          <w:b/>
          <w:color w:val="000000"/>
          <w:sz w:val="44"/>
        </w:rPr>
        <w:t xml:space="preserve">  </w:t>
      </w:r>
      <w:r>
        <w:rPr>
          <w:rFonts w:ascii="SimHei" w:hAnsi="SimHei" w:eastAsia="SimHei" w:cs="SimHei"/>
          <w:b/>
          <w:color w:val="000000"/>
          <w:sz w:val="44"/>
        </w:rPr>
        <w:t xml:space="preserve">合同文本</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以下为中标后</w:t>
      </w:r>
      <w:r>
        <w:rPr>
          <w:rFonts w:ascii="SimSun" w:hAnsi="SimSun" w:eastAsia="SimSun" w:cs="SimSun"/>
          <w:color w:val="000000"/>
          <w:sz w:val="24"/>
        </w:rPr>
        <w:t xml:space="preserve">签订本项目合同的通用条款，中标人不得提出实质性的修改。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关于专用条款将由采购人与中标人结合本项目具体情况协商后签订。此合同为格式合同，采购人可根据实际情况参照拟定。</w:t>
      </w:r>
      <w:r>
        <w:rPr>
          <w:rFonts w:ascii="Calibri" w:hAnsi="Calibri" w:eastAsia="Calibri" w:cs="Calibri"/>
          <w:color w:val="000000"/>
          <w:sz w:val="24"/>
        </w:rPr>
        <w:t xml:space="preserve"> </w:t>
      </w:r>
      <w:r/>
    </w:p>
    <w:p>
      <w:pPr>
        <w:ind w:left="0" w:right="0" w:firstLine="0"/>
        <w:jc w:val="center"/>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响水县南河镇环境保洁服务项目服务合同</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甲方：</w:t>
      </w:r>
      <w:r>
        <w:rPr>
          <w:rFonts w:ascii="SimSun" w:hAnsi="SimSun" w:eastAsia="SimSun" w:cs="SimSun"/>
          <w:color w:val="000000"/>
          <w:sz w:val="24"/>
          <w:u w:val="single"/>
        </w:rPr>
        <w:t xml:space="preserve">响水县南河镇人民政府</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乙方：</w:t>
      </w:r>
      <w:r>
        <w:rPr>
          <w:rFonts w:ascii="SimSun" w:hAnsi="SimSun" w:eastAsia="SimSun" w:cs="SimSun"/>
          <w:b/>
          <w:color w:val="000000"/>
          <w:sz w:val="24"/>
          <w:u w:val="single"/>
        </w:rPr>
        <w:t xml:space="preserve"> </w:t>
      </w:r>
      <w:r>
        <w:rPr>
          <w:rFonts w:ascii="SimSun" w:hAnsi="SimSun" w:eastAsia="SimSun" w:cs="SimSun"/>
          <w:color w:val="000000"/>
          <w:sz w:val="24"/>
          <w:u w:val="single"/>
        </w:rPr>
        <w:t xml:space="preserve">                       </w:t>
      </w:r>
      <w:r/>
    </w:p>
    <w:p>
      <w:pPr>
        <w:ind w:left="0" w:right="0" w:firstLine="240"/>
        <w:jc w:val="both"/>
        <w:spacing w:before="0" w:after="0" w:line="85" w:lineRule="atLeast"/>
        <w:tabs>
          <w:tab w:val="left" w:pos="54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在响水县南河镇环境保洁服务项目招标中，乙方中标，甲、乙双方就本项目相关事宜协商一致，签订本合同。</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第一条 服务内容、期限及相关要求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确定乙方为本项目的服务单位，其作业范围及内容为：王集社区、平建居委会道路区域保洁；垃圾箱（桶）、果壳箱垃圾收运、清洗；农贸市场外围保洁保洁及垃圾清运；王集、薛荡、头甲、河堆和平建5座垃圾中转站保洁及维护；南河镇政府大院保洁、垃圾清运服务等。</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2、合同履行期限：服务期限为一年，自</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日起至</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日。合同一年一签，每年服务合同期满后，经采购人考核合格，双方可协商续签本合同，最多续签两次，总服务期不超过三年。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3、环卫作业服务要求：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乙方应制订日常清扫保洁管理制度、垃圾清运制度、应急处理制度、自检自查制度。日常作业做到服务规范、优质高效、环境整洁的基本要求。所提供的服务必须符合以下要求：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（1）人工作业基本要求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1）人工作业包括不具备列入机械化清扫的道路清扫、快慢道路保洁、人行道清扫保洁、绿化带保洁、护栏保洁、农贸市场外围保洁、垃圾箱垃圾收运、清洗以及镇政府院内清扫、保洁等内容。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2）时间要求： </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①“道路人工清扫保洁日工作小时数”说明: 8小时是指每天的6:00-10:00和13:00-17:00。作业时间段内均必须安排人员进行不间断作业。</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②有关休息时间的说明：具体在岗作业休息时间由乙方灵活安排；遇重大检查时作业方式按甲方的要求执行。</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3）道路清扫保洁要求：</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①车行道、人行道及绿化带内废弃物，如果皮、纸屑、塑膜、烟蒂、痰迹等做到及时清理。</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②全路段清扫无死角，垃圾无漏收，人工清扫保洁后的垃圾，必须及时清除，不得将垃圾扫入窨井、河道、绿地内。机械清扫每日2次，第一次普扫必须在7:30前完成，人工清扫每日1次。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③降雪天气，应及时组织铲雪作业。道路融雪后，路面煤渣、灰沙及其它废弃物应及时清扫干净，禁止焚烧垃圾。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4）垃圾箱（桶）、果壳箱清运清洗要求：</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①保洁道路的垃圾箱（桶）、果壳箱每天2清运1清洗。</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②垃圾箱（桶）、果壳箱垃圾清运完成时间（按每日早、晚二次）：7:00前、21:00前；清洗完成时间：9:00前，清洗结束应及时收集沿街垃圾。</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③如遇垃圾箱（桶）、果壳箱外溢时，应随时组织收运。</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④所有路段内的垃圾箱（桶）、果壳箱应保持干净、整洁，无乱张贴、乱涂写，无外溢情形，无随意焚烧现象。</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⑤垃圾箱（桶）、果壳箱有损坏应及时报甲方维修或更换，确保完好。</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5）农贸市场保洁要求：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负责农贸市场外围的保洁、垃圾清运等并保持其干净整洁。</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6)垃圾中转站保洁要求：</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负责镇区服务范围内垃圾中转站的日常运行、站内环境保洁（统一维保后交给中标人）。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7)镇政府院内作业要求：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负责对镇政府院内室内外公共区域保洁和垃圾清运。</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①室内公共区域</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A.楼道地面、楼梯每日拖洗一次，巡回保洁，无积灰、污迹、垃圾、水。</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B.扶手、门：每日擦抹一次，无灰尘、污迹。</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C.会议室、活动室每日清洁一次，保持无灰尘。</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D.玻璃、天花、保持干净明亮，无明显积灰、无蜘蛛网。</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E.依据会议、活动日程安排提前搞好卫生、桌椅摆放、会议或活动结束后打扫干净。</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F.卫生间保持每天消毒，保持地面清洁、无杂物、无积水、无异味、便池、水池下水道保持畅通。墙面四周及阴角做到无水迹、无蜘蛛网；镜子及金属部分：应保持干净，无浮尘、污渍、手印、水迹、无锈斑。</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②室外公共区域</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A.庭院、道路地面、绿地：每日清扫一次，并巡回保洁。</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B.垃圾收集：对垃圾每天进行清除、外运，做到垃圾日产日清，保持垃圾全部进垃圾箱，保持箱外无垃圾。</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C.垃圾桶（箱）保持桶体清洁无污迹、无异味、无损坏，定期进行消毒。</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D.门厅玻璃每月擦拭两次，无灰尘、无污迹。</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E.消毒灭害：窨井、明沟、垃圾房喷洒药水，每季一次（6、7、8、9月每月喷洒一次），每年灭鼠、灭蟑螂三次，无明显蚊蝇滋生地、鼠迹。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（2）机械化作业基本要求</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1）作业时间安排：</w:t>
      </w:r>
      <w:r/>
    </w:p>
    <w:p>
      <w:pPr>
        <w:ind w:left="0" w:right="0" w:firstLine="7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①机械化清洗作业可根据实际情况和需要安排在日间或夜间进行。</w:t>
      </w:r>
      <w:r/>
    </w:p>
    <w:p>
      <w:pPr>
        <w:ind w:left="0" w:right="0" w:firstLine="7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冲洗车辆每日22:00开始组织冲洗作业（每年3月1日—12月31日），至次日上午7:00前全部撤离作业路段；洒水季节（每年3月1日—12月31日）组织车辆在9:00—15:00作业。非核心区域路段的各项作业和一级道路每日增加1次的日间机械化清扫作业，在确保回避交通高峰的情况下，作业时间可根据需要自行组织。</w:t>
      </w:r>
      <w:r/>
    </w:p>
    <w:p>
      <w:pPr>
        <w:ind w:left="10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③当气温≤5℃时，桥面、坡道的冲洗及清洗作业应暂停；当气温≤2℃时，必须停止全部冲洗及清洗作业，与此同时道路清扫全部采用干扫（不喷水）作业方式。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2）作业行驶要求：</w:t>
      </w:r>
      <w:r/>
    </w:p>
    <w:p>
      <w:pPr>
        <w:ind w:left="10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清扫作业时选用一挡，行驶速度不超过10公里/小时，副机转速不超过2000转/分，应严格按照放刷、喷水、调整箱体压力和刷盘转速、清扫的顺序进行操作；非特殊气候情况下，避免“干扫”；作业时禁止扫刷、吸嘴不落地。</w:t>
      </w:r>
      <w:r/>
    </w:p>
    <w:p>
      <w:pPr>
        <w:ind w:left="10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②作业时须开启警示灯和示宽灯，夜间禁鸣，日间适当鸣号。</w:t>
      </w:r>
      <w:r/>
    </w:p>
    <w:p>
      <w:pPr>
        <w:ind w:left="10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③作业人员必须按照规定的时间、线路、频次和作业模式作业；作业时应穿戴统一的、具有明显警示标识的工作服，并保持着装整洁。不得有滞留马路和加油加水超时等情况。</w:t>
      </w:r>
      <w:r/>
    </w:p>
    <w:p>
      <w:pPr>
        <w:ind w:left="10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④车辆行驶、停放必须遵守《道路交通安全法》对车辆的基本管理要求，任何交通违法行为责任由乙方自行承担。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3）机械化作业车辆容貌要求：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①车体整洁明亮、各种配件齐全、使用功能齐备，各项作业装置保持完好、有效。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②车尾应有反光标志（或加贴反光膜）。车体杜绝吊挂、抛洒污物，滴漏水、油液体等现象。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4）调度和管理要求：</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①科学合理调配作业车辆分布比例及运行。每班作业应按规定填写出车日志，作业车辆应在规定地点取水、清洁污物箱，机械化作业收集的垃圾倒入指定中转站。</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②建立健全车辆维修、保养和检查制度，必须确保作业车辆车况良好。</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③如遇死角、深沟、道路两侧行道树过低过近、垃圾杂物体积过长过大、落叶季节、窨井眼不畅通、有杂物或被堵塞等工况无法满足环卫机械化作业条件时，需组织人工配合作业。</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④如遇其他突发事件、重大活动，甲方有权要求乙方的车辆和人员参与应急。</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4、环境保洁考评细则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（1）保持路面整洁，做到道路无垃圾、杂物及无明显脏乱差（道路有垃圾、杂物及明显脏乱差，发现一处扣0.5分）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（2）绿化带可视范围内无白色污染物（有白色污染物，发现一处扣0.5分）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（3）不得将落叶等垃圾扫入绿化带或者焚烧（垃圾扫入绿化带或者焚烧，发现一次扣0.5分）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（4）保持垃圾收集点、垃圾桶、垃圾箱等外围环境整洁，做到即满即清（未及时清理，发现一处扣0.5分，有一次投诉扣1分）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（5）所有清扫保洁人员穿戴工作服上岗，严格执行操作规范（未穿戴工作服或者工人违规操作，发现一次扣0.5分）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（6）保持农贸市场外围无垃圾，环境干净整洁。（发现一处扣0.5分）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（7）保持垃圾中转站内部整洁，做到无垃圾和污水外溢（发现一次扣0.5分）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（8）保证镇政府院内环境整洁，无白色垃圾，垃圾箱周围无垃圾外溢。（发现一次扣0.5分）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（9）如发现长期未保洁清运的卫生死角、垃圾积存点。（发现一处扣1分）5、对乙方的服务按月进行考核打分，如有扣分事项需进行现场拍照并加以书面记录。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环境保洁月考核分数满分100分。月考核分数≥70分，该月度服务费全额拨付；月考核分数低于70分，每低1分扣50元；月考核分数低于65分，每低1分扣100元；月考核分低于60分，每低1分扣150元，甲方发出整改书面通知，如乙方连续三个月考核分低于60分且经整改仍然不达标，甲方有权提出解除合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第二条 甲方的权利和义务</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本合同相关要求，对乙方开展的道路、农贸市场外围、垃圾中转站运行及镇政府大院的保洁与垃圾清运服务等工作及履行合同情况进行指导和考核。督促乙方执行安全生产的相关规定，如发现乙方违规、违法行为，甲方有权要求乙方停工整改，乙方拒绝执行的，甲方有权终止合同。</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2、甲方负责将镇区道路养护工和垃圾桶、垃圾箱、钩臂车、环卫车辆、垃圾中转站等设备设施移交给乙方（具体清单附后）。在服务期内，甲方负责为乙方无偿提供项目管理办公场所。</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3、在服务期内甲方负责垃圾桶、垃圾箱等环卫设施的更新配备，须满足乙方合理使用要求；甲方须将上级配发的环卫设施、设备、机械等无偿提供给乙方使用，产权归甲方。</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4、根据乙方在考核中的结果，按月向乙方支付服务费用。</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5、听取乙方提出的合理化建议并给予答复。</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6、审定乙方的环卫作业服务制度和计划，监督乙方履行合同及承诺。</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7、区域范围内新增作业量的派遣、核算。</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8、甲方负责承担垃圾中转站等运行设施产生的水电费以及垃圾中转站设备维修、大保养、更换机油等费用。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9、法规、政策规定由甲方承担的其他责任。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第三条 乙方的权利和义务</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本合同相关条款的规定及要求开展清扫保洁工作，接受甲方和相关管理部门的考核及指导。确保所负责清扫保洁的道路、绿化带、农贸市场及镇政府大院等呈现干净整洁的面貌，确保垃圾收集及运输工作做到日产日清，并按指定地点、指定时间、指定运输线路运送垃圾，不得拒绝沿线居民向垃圾收集车辆内倾倒生活垃圾。</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2、乙方聘用人员的人身意外险由甲方按县财政标准统一为其购买。乙方在用人期间，所有安全问题及安全责任由乙方自行承担。</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3、乙方负责组成固定的专业环卫作业队伍，对甲方提供的设备设施进行合理布置、安排,并设立明显标识，以提醒过往车辆及行人注意安全，如发生安全事故，由乙方自行承担。</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4、乙方享有甲方移交环卫设施、设备的使用权，所移交的环卫设施、设备产权归甲方所有。乙方负责甲方移交环卫车辆的日常保养、维修、年检、车辆保险等工作及费用。</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5、乙方独立承担环卫作业中的安全责任和经济赔偿责任，所接收甲方移交使用的车辆、设施设备在使用期间，如发生意外事件，乙方承担全部责任并负责处理。乙方须购买足额的车辆保险。</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6、乙方负责垃圾中转站操作人员工资及设备日常保养。</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7、在灾害天气期间，乙方应保质保量按时完成甲方安排的指令性任务。</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8、乙方应接受甲方和社会监督，对存在的问题在指定时间内整改到位，并将整改结果报甲方。</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9、准时参加甲方通知召开的相关会议。</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10、向甲方提出合理化建议。</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11、乙方须接受甲方因突发事件、重大活动等安排的突击性保洁任务。</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12、法规、政策规定由乙方承担的其他责任。</w:t>
      </w:r>
      <w:r/>
    </w:p>
    <w:p>
      <w:pPr>
        <w:ind w:left="0" w:right="0" w:firstLine="482"/>
        <w:jc w:val="both"/>
        <w:spacing w:before="0" w:after="0" w:line="85" w:lineRule="atLeast"/>
        <w:tabs>
          <w:tab w:val="left" w:pos="199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第四条 价格与支付</w:t>
      </w:r>
      <w:r>
        <w:rPr>
          <w:rFonts w:ascii="SimSun" w:hAnsi="SimSun" w:eastAsia="SimSun" w:cs="SimSun"/>
          <w:color w:val="000000"/>
          <w:sz w:val="24"/>
        </w:rPr>
        <w:tab/>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1、本合同服务费用总金额为：¥</w:t>
      </w:r>
      <w:r>
        <w:rPr>
          <w:rFonts w:ascii="SimSun" w:hAnsi="SimSun" w:eastAsia="SimSun" w:cs="SimSun"/>
          <w:color w:val="000000"/>
          <w:sz w:val="24"/>
          <w:u w:val="single"/>
        </w:rPr>
        <w:t xml:space="preserve">     </w:t>
      </w:r>
      <w:r>
        <w:rPr>
          <w:rFonts w:ascii="SimSun" w:hAnsi="SimSun" w:eastAsia="SimSun" w:cs="SimSun"/>
          <w:color w:val="000000"/>
          <w:sz w:val="24"/>
        </w:rPr>
        <w:t xml:space="preserve">元（人民币大写：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）；合同每月服务费用总金额为：¥</w:t>
      </w:r>
      <w:r>
        <w:rPr>
          <w:rFonts w:ascii="SimSun" w:hAnsi="SimSun" w:eastAsia="SimSun" w:cs="SimSun"/>
          <w:color w:val="000000"/>
          <w:sz w:val="24"/>
          <w:u w:val="single"/>
        </w:rPr>
        <w:t xml:space="preserve">        </w:t>
      </w:r>
      <w:r>
        <w:rPr>
          <w:rFonts w:ascii="SimSun" w:hAnsi="SimSun" w:eastAsia="SimSun" w:cs="SimSun"/>
          <w:color w:val="000000"/>
          <w:sz w:val="24"/>
        </w:rPr>
        <w:t xml:space="preserve">元/月（人民币大写：</w:t>
      </w:r>
      <w:r>
        <w:rPr>
          <w:rFonts w:ascii="SimSun" w:hAnsi="SimSun" w:eastAsia="SimSun" w:cs="SimSun"/>
          <w:color w:val="000000"/>
          <w:sz w:val="24"/>
          <w:u w:val="single"/>
        </w:rPr>
        <w:t xml:space="preserve">       元/月 </w:t>
      </w:r>
      <w:r>
        <w:rPr>
          <w:rFonts w:ascii="SimSun" w:hAnsi="SimSun" w:eastAsia="SimSun" w:cs="SimSun"/>
          <w:color w:val="000000"/>
          <w:sz w:val="24"/>
        </w:rPr>
        <w:t xml:space="preserve">）。</w:t>
      </w:r>
      <w:r/>
    </w:p>
    <w:p>
      <w:pPr>
        <w:ind w:left="0" w:right="0" w:firstLine="477"/>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2、付款时间及方式：甲方根据当月考核结果，于次月10号前（含当日）向乙方支付上月的服务款额。以转账方式直接转入乙方银行账户。</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合同所约定价格中的乙方服务人员工资及社保系依据本合同签订当时政府规定的最低工资标准，在合同执行过程中若政府或人社部门调整提高最低工资标准或社会保险缴纳基数，甲方应从响水县实行新的最低工资标准或社会保险缴纳基数之日起按比例同步调整补足差额部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第五条 环卫作业权的交付</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甲方应于合同签订后十五日内负责向乙方授予环境保洁作业权，乙方从</w:t>
      </w:r>
      <w:r>
        <w:rPr>
          <w:rFonts w:ascii="SimSun" w:hAnsi="SimSun" w:eastAsia="SimSun" w:cs="SimSun"/>
          <w:color w:val="000000"/>
          <w:sz w:val="24"/>
          <w:u w:val="single"/>
        </w:rPr>
        <w:t xml:space="preserve">2026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日起履行本合同的条款内容。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第六条违约责任</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1、如合同一方不履行合同义务或违反履行合同义务约定的，应当采取补救措施并承担赔偿损失等违约责任（赔偿金额不超过合同价的20%）。</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2、在合同生效后，甲、乙双方如有一方无故终止合同，应向对方支付人民币贰拾万元作为违约金。</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3、甲方逾期付款应按照逾期付款金额的每天万分之四支付逾期付款滞纳金，如甲方逾期付款超过三十天乙方有权要求甲方另行补偿乙方损失。</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4、如因乙方履行合同约定的某一项服务内容不到位，甲方有权责令其限期整改，逾期未改的处以100元/项罚款（或：按本合同“环境保洁考评细则”条款扣款），从当月服务费中直接扣除。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第七条 不可抗力</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1、因不可抗力（或甲、乙双方不能控制的原因）不能履行合同的，根据不可抗力的影响，部分或者全部免除责任，但合同一方迟延履行后发生不可抗力的，不能免除其责任。</w:t>
      </w:r>
      <w:r/>
    </w:p>
    <w:p>
      <w:pPr>
        <w:ind w:left="0" w:right="0" w:firstLine="477"/>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2、合同一方因不可抗力不能履行合同的，应当及时通知对方，以减轻可能给对方造成的损失，并应当在合理期限内提供证明。</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第八条 合同生效及解除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1、合同生效：经甲、乙双方签字并盖章后即生效。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2、合同的解除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（1）甲方和乙方协商一致，可以解除合同。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（2）有权解除合同的一方，应当在违约事实或不可抗力发生之后30天内书面通知对方提出解除合同，合同在书面通知到达对方时解除。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第九条 争议解决</w:t>
      </w:r>
      <w:r/>
    </w:p>
    <w:p>
      <w:pPr>
        <w:ind w:left="0"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甲、乙双方因履行本合同发生争议，如协商未果，任何一方可向甲方所在地人民法院起诉。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第十条</w:t>
      </w:r>
      <w:r>
        <w:rPr>
          <w:rFonts w:ascii="SimSun" w:hAnsi="SimSun" w:eastAsia="SimSun" w:cs="SimSun"/>
          <w:color w:val="000000"/>
          <w:sz w:val="24"/>
        </w:rPr>
        <w:t xml:space="preserve"> 本合同一式四份，甲、乙双方各执一份，政府财政和代理机构各一份。</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第十一条</w:t>
      </w:r>
      <w:r>
        <w:rPr>
          <w:rFonts w:ascii="SimSun" w:hAnsi="SimSun" w:eastAsia="SimSun" w:cs="SimSun"/>
          <w:color w:val="000000"/>
          <w:sz w:val="24"/>
        </w:rPr>
        <w:t xml:space="preserve"> 本合同在执行过程中如出现未尽事宜，双方协商解决，协商结果以书面记录在案（或签订补充协议），并经双方签字盖章生效作为本合同的附件，与本合同具有同等效力。</w:t>
      </w:r>
      <w:r/>
    </w:p>
    <w:p>
      <w:pPr>
        <w:ind w:left="0"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70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598"/>
        <w:gridCol w:w="159"/>
        <w:gridCol w:w="4598"/>
      </w:tblGrid>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598" w:type="dxa"/>
            <w:vAlign w:val="top"/>
            <w:textDirection w:val="lrTb"/>
            <w:noWrap w:val="false"/>
          </w:tcPr>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 （盖章）</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5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59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 （盖章）</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59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5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59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598" w:type="dxa"/>
            <w:vAlign w:val="top"/>
            <w:textDirection w:val="lrTb"/>
            <w:noWrap w:val="false"/>
          </w:tcPr>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代表人：（签字）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5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59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代表人：（签字）               </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59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5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59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598" w:type="dxa"/>
            <w:vAlign w:val="top"/>
            <w:textDirection w:val="lrTb"/>
            <w:noWrap w:val="false"/>
          </w:tcPr>
          <w:p>
            <w:pPr>
              <w:ind w:left="0" w:right="96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5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598" w:type="dxa"/>
            <w:vAlign w:val="top"/>
            <w:textDirection w:val="lrTb"/>
            <w:noWrap w:val="false"/>
          </w:tcPr>
          <w:p>
            <w:pPr>
              <w:ind w:left="0" w:right="96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313"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第四章 采购需求</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项目属性:服务类项目。</w:t>
      </w:r>
      <w:r>
        <w:rPr>
          <w:rFonts w:ascii="SimSun" w:hAnsi="SimSun" w:eastAsia="SimSun" w:cs="SimSun"/>
          <w:b/>
          <w:color w:val="000000"/>
          <w:sz w:val="24"/>
        </w:rPr>
        <w:t xml:space="preserve"> </w:t>
      </w:r>
      <w:r/>
    </w:p>
    <w:p>
      <w:pPr>
        <w:ind w:left="0" w:right="0" w:firstLine="24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一、项目概况</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水县南河镇环境保洁服务项目主要包括王集社区、平建居委会道路区域保洁；垃圾箱（桶）、果壳箱垃圾收运、清洗；农贸市场外围保洁保洁及垃圾清运；王集、薛荡、头甲、河堆和平建5座垃圾中转站保洁及维护；南河镇政府大院保洁、垃圾清运服务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合同履行期限：服务期限为一年，合同一年一签，每年服务合同期满后，经采购人考核合格，双方可协商续签本合同，最多续签两次，总服务期不超过三年。</w:t>
      </w:r>
      <w:r/>
    </w:p>
    <w:p>
      <w:pPr>
        <w:ind w:left="0" w:right="0" w:firstLine="24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二、作业服务范围</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1、道路作业服务范围：</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（1）王集社区道路及区域</w:t>
      </w:r>
      <w:r/>
    </w:p>
    <w:tbl>
      <w:tblPr>
        <w:tblStyle w:val="70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34"/>
        <w:gridCol w:w="1841"/>
        <w:gridCol w:w="1483"/>
        <w:gridCol w:w="1464"/>
        <w:gridCol w:w="2314"/>
      </w:tblGrid>
      <w:tr>
        <w:trPr>
          <w:trHeight w:val="533"/>
        </w:trPr>
        <w:tc>
          <w:tcPr>
            <w:shd w:val="clear" w:color="ffffff" w:fill="ffffff"/>
            <w:tcBorders>
              <w:top w:val="single" w:color="000000" w:sz="8" w:space="0"/>
              <w:left w:val="single" w:color="000000" w:sz="8" w:space="0"/>
              <w:bottom w:val="single" w:color="000000" w:sz="8" w:space="0"/>
              <w:right w:val="single" w:color="000000" w:sz="8" w:space="0"/>
            </w:tcBorders>
            <w:tcMar>
              <w:left w:w="120" w:type="dxa"/>
              <w:top w:w="60" w:type="dxa"/>
              <w:right w:w="120" w:type="dxa"/>
              <w:bottom w:w="30" w:type="dxa"/>
            </w:tcMar>
            <w:tcW w:w="83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序号</w:t>
            </w:r>
            <w:r/>
          </w:p>
        </w:tc>
        <w:tc>
          <w:tcPr>
            <w:shd w:val="clear" w:color="ffffff" w:fill="ffffff"/>
            <w:tcBorders>
              <w:top w:val="single" w:color="000000" w:sz="8" w:space="0"/>
              <w:left w:val="single" w:color="000000" w:sz="8" w:space="0"/>
              <w:bottom w:val="single" w:color="000000" w:sz="8" w:space="0"/>
              <w:right w:val="single" w:color="000000" w:sz="8" w:space="0"/>
            </w:tcBorders>
            <w:tcMar>
              <w:left w:w="120" w:type="dxa"/>
              <w:top w:w="60" w:type="dxa"/>
              <w:right w:w="120" w:type="dxa"/>
              <w:bottom w:w="30" w:type="dxa"/>
            </w:tcMar>
            <w:tcW w:w="1841"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名称</w:t>
            </w:r>
            <w:r/>
          </w:p>
        </w:tc>
        <w:tc>
          <w:tcPr>
            <w:shd w:val="clear" w:color="ffffff" w:fill="ffffff"/>
            <w:tcBorders>
              <w:top w:val="single" w:color="000000" w:sz="8" w:space="0"/>
              <w:left w:val="single" w:color="000000" w:sz="8" w:space="0"/>
              <w:bottom w:val="single" w:color="000000" w:sz="8" w:space="0"/>
              <w:right w:val="single" w:color="000000" w:sz="8" w:space="0"/>
            </w:tcBorders>
            <w:tcMar>
              <w:left w:w="120" w:type="dxa"/>
              <w:top w:w="60" w:type="dxa"/>
              <w:right w:w="120" w:type="dxa"/>
              <w:bottom w:w="30" w:type="dxa"/>
            </w:tcMar>
            <w:tcW w:w="1483"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长度（公里）</w:t>
            </w:r>
            <w:r/>
          </w:p>
        </w:tc>
        <w:tc>
          <w:tcPr>
            <w:shd w:val="clear" w:color="ffffff" w:fill="ffffff"/>
            <w:tcBorders>
              <w:top w:val="single" w:color="000000" w:sz="8" w:space="0"/>
              <w:left w:val="single" w:color="000000" w:sz="8" w:space="0"/>
              <w:bottom w:val="single" w:color="000000" w:sz="8" w:space="0"/>
              <w:right w:val="single" w:color="000000" w:sz="8" w:space="0"/>
            </w:tcBorders>
            <w:tcMar>
              <w:left w:w="120" w:type="dxa"/>
              <w:top w:w="60" w:type="dxa"/>
              <w:right w:w="120" w:type="dxa"/>
              <w:bottom w:w="30" w:type="dxa"/>
            </w:tcMar>
            <w:tcW w:w="146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宽度（米）</w:t>
            </w:r>
            <w:r/>
          </w:p>
        </w:tc>
        <w:tc>
          <w:tcPr>
            <w:shd w:val="clear" w:color="ffffff" w:fill="ffffff"/>
            <w:tcBorders>
              <w:top w:val="single" w:color="000000" w:sz="8" w:space="0"/>
              <w:left w:val="single" w:color="000000" w:sz="8" w:space="0"/>
              <w:bottom w:val="single" w:color="000000" w:sz="8" w:space="0"/>
              <w:right w:val="single" w:color="000000" w:sz="8" w:space="0"/>
            </w:tcBorders>
            <w:tcMar>
              <w:left w:w="120" w:type="dxa"/>
              <w:top w:w="60" w:type="dxa"/>
              <w:right w:w="120" w:type="dxa"/>
              <w:bottom w:w="30" w:type="dxa"/>
            </w:tcMar>
            <w:tcW w:w="231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533"/>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83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841"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326省道</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483"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46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31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主要干道</w:t>
            </w:r>
            <w:r/>
          </w:p>
        </w:tc>
      </w:tr>
      <w:tr>
        <w:trPr>
          <w:trHeight w:val="533"/>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83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841"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302县道</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483"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46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31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主要干道</w:t>
            </w:r>
            <w:r/>
          </w:p>
        </w:tc>
      </w:tr>
      <w:tr>
        <w:trPr>
          <w:trHeight w:val="533"/>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83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841"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海七线</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483"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46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31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主要道路</w:t>
            </w:r>
            <w:r/>
          </w:p>
        </w:tc>
      </w:tr>
      <w:tr>
        <w:trPr>
          <w:trHeight w:val="533"/>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83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841"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西兰花大道</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483"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46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31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主要道路</w:t>
            </w:r>
            <w:r/>
          </w:p>
        </w:tc>
      </w:tr>
      <w:tr>
        <w:trPr>
          <w:trHeight w:val="533"/>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83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841"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顺兴路</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483"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0.5</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46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31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主要道路</w:t>
            </w:r>
            <w:r/>
          </w:p>
        </w:tc>
      </w:tr>
      <w:tr>
        <w:trPr>
          <w:trHeight w:val="533"/>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83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841"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南大线</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483"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46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31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主要道路</w:t>
            </w:r>
            <w:r/>
          </w:p>
        </w:tc>
      </w:tr>
      <w:tr>
        <w:trPr>
          <w:trHeight w:val="533"/>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83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841"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双南路</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483"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46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31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主要道路</w:t>
            </w:r>
            <w:r/>
          </w:p>
        </w:tc>
      </w:tr>
      <w:tr>
        <w:trPr>
          <w:trHeight w:val="533"/>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83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841"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北环路</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483"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46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31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主要道路</w:t>
            </w:r>
            <w:r/>
          </w:p>
        </w:tc>
      </w:tr>
      <w:tr>
        <w:trPr>
          <w:trHeight w:val="533"/>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83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841"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致富路</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483"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46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31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主要道路</w:t>
            </w:r>
            <w:r/>
          </w:p>
        </w:tc>
      </w:tr>
      <w:tr>
        <w:trPr>
          <w:trHeight w:val="533"/>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83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841"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中学西路</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483"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46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31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主要道路</w:t>
            </w:r>
            <w:r/>
          </w:p>
        </w:tc>
      </w:tr>
      <w:tr>
        <w:trPr>
          <w:trHeight w:val="533"/>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83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841"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昌盛路</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483"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46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31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主要道路</w:t>
            </w:r>
            <w:r/>
          </w:p>
        </w:tc>
      </w:tr>
      <w:tr>
        <w:trPr>
          <w:trHeight w:val="533"/>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83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841"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安阜路</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483"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46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31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主要道路</w:t>
            </w:r>
            <w:r/>
          </w:p>
        </w:tc>
      </w:tr>
      <w:tr>
        <w:trPr>
          <w:trHeight w:val="533"/>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83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841"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王集东路</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483"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46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31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主要道路</w:t>
            </w:r>
            <w:r/>
          </w:p>
        </w:tc>
      </w:tr>
      <w:tr>
        <w:trPr>
          <w:trHeight w:val="533"/>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83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841"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王集西路</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483"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46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31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主要道路</w:t>
            </w:r>
            <w:r/>
          </w:p>
        </w:tc>
      </w:tr>
      <w:tr>
        <w:trPr>
          <w:trHeight w:val="533"/>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83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841"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安阜连接线</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483"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46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31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连接道路</w:t>
            </w:r>
            <w:r/>
          </w:p>
        </w:tc>
      </w:tr>
      <w:tr>
        <w:trPr>
          <w:trHeight w:val="533"/>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83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841"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小公园</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483"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46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31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休闲区域道路</w:t>
            </w:r>
            <w:r/>
          </w:p>
        </w:tc>
      </w:tr>
      <w:tr>
        <w:trPr>
          <w:trHeight w:val="533"/>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83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841"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颜如庄路</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483"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46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31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主要道路</w:t>
            </w:r>
            <w:r/>
          </w:p>
        </w:tc>
      </w:tr>
      <w:tr>
        <w:trPr>
          <w:trHeight w:val="533"/>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83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841"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南合线</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483"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46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31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主要道路</w:t>
            </w:r>
            <w:r/>
          </w:p>
        </w:tc>
      </w:tr>
      <w:tr>
        <w:trPr>
          <w:trHeight w:val="533"/>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83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841"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王集9组路</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483"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46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31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庄内道路</w:t>
            </w:r>
            <w:r/>
          </w:p>
        </w:tc>
      </w:tr>
      <w:tr>
        <w:trPr>
          <w:trHeight w:val="533"/>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83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841"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敬老院路</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483"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46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31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专用道路</w:t>
            </w:r>
            <w:r/>
          </w:p>
        </w:tc>
      </w:tr>
      <w:tr>
        <w:trPr>
          <w:trHeight w:val="533"/>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83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841"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电商产业园路</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483"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46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31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专用道路</w:t>
            </w:r>
            <w:r/>
          </w:p>
        </w:tc>
      </w:tr>
      <w:tr>
        <w:trPr>
          <w:trHeight w:val="533"/>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83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841"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王集大平路</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483"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0.9</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46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31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庄内道路</w:t>
            </w:r>
            <w:r/>
          </w:p>
        </w:tc>
      </w:tr>
      <w:tr>
        <w:trPr>
          <w:trHeight w:val="533"/>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83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841"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1、2、3组庄内路</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483"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46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31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庄内道路</w:t>
            </w:r>
            <w:r/>
          </w:p>
        </w:tc>
      </w:tr>
      <w:tr>
        <w:trPr>
          <w:trHeight w:val="533"/>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83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841"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4、5、6组庄内路</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483"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46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31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庄内道路</w:t>
            </w:r>
            <w:r/>
          </w:p>
        </w:tc>
      </w:tr>
      <w:tr>
        <w:trPr>
          <w:trHeight w:val="533"/>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83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841"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7、8、9组庄内路</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483"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0.8</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46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31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庄内道路</w:t>
            </w:r>
            <w:r/>
          </w:p>
        </w:tc>
      </w:tr>
      <w:tr>
        <w:trPr>
          <w:trHeight w:val="533"/>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83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841"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10、11、12组庄内路</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483"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46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31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庄内道路</w:t>
            </w:r>
            <w:r/>
          </w:p>
        </w:tc>
      </w:tr>
      <w:tr>
        <w:trPr>
          <w:trHeight w:val="533"/>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83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841"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13、14、15组庄内路</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483"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46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31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庄内道路</w:t>
            </w:r>
            <w:r/>
          </w:p>
        </w:tc>
      </w:tr>
      <w:tr>
        <w:trPr>
          <w:trHeight w:val="533"/>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83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841"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16、17组庄内路</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483"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0.9</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46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31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庄内道路</w:t>
            </w:r>
            <w:r/>
          </w:p>
        </w:tc>
      </w:tr>
      <w:tr>
        <w:trPr>
          <w:trHeight w:val="533"/>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83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841"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花园小区</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483"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46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31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小区区域，面积1500㎡</w:t>
            </w:r>
            <w:r/>
          </w:p>
        </w:tc>
      </w:tr>
      <w:tr>
        <w:trPr>
          <w:trHeight w:val="533"/>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83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841"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育才小区</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483"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46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31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小区区域，面积1700㎡</w:t>
            </w:r>
            <w:r/>
          </w:p>
        </w:tc>
      </w:tr>
      <w:tr>
        <w:trPr>
          <w:trHeight w:val="533"/>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83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841"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海华小区</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483"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46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31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小区区域，面积2000㎡</w:t>
            </w:r>
            <w:r/>
          </w:p>
        </w:tc>
      </w:tr>
      <w:tr>
        <w:trPr>
          <w:trHeight w:val="533"/>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83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841"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王集社区</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483"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46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31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社区区域，面积3000㎡</w:t>
            </w:r>
            <w:r/>
          </w:p>
        </w:tc>
      </w:tr>
      <w:tr>
        <w:trPr>
          <w:trHeight w:val="533"/>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83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841"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王集新型小区</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483"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46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31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小区区域，面积1500㎡</w:t>
            </w:r>
            <w:r/>
          </w:p>
        </w:tc>
      </w:tr>
      <w:tr>
        <w:trPr>
          <w:trHeight w:val="533"/>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83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841"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政府大院</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483"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46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31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院落区域，面积2000㎡</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（2）平建居委会道路及区域</w:t>
      </w:r>
      <w:r/>
    </w:p>
    <w:tbl>
      <w:tblPr>
        <w:tblStyle w:val="70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4"/>
        <w:gridCol w:w="1782"/>
        <w:gridCol w:w="1552"/>
        <w:gridCol w:w="1626"/>
        <w:gridCol w:w="2262"/>
      </w:tblGrid>
      <w:tr>
        <w:trPr>
          <w:trHeight w:val="533"/>
        </w:trPr>
        <w:tc>
          <w:tcPr>
            <w:shd w:val="clear" w:color="ffffff" w:fill="ffffff"/>
            <w:tcBorders>
              <w:top w:val="single" w:color="000000" w:sz="8" w:space="0"/>
              <w:left w:val="single" w:color="000000" w:sz="8" w:space="0"/>
              <w:bottom w:val="single" w:color="000000" w:sz="8" w:space="0"/>
              <w:right w:val="single" w:color="000000" w:sz="8" w:space="0"/>
            </w:tcBorders>
            <w:tcMar>
              <w:left w:w="120" w:type="dxa"/>
              <w:top w:w="60" w:type="dxa"/>
              <w:right w:w="120" w:type="dxa"/>
              <w:bottom w:w="30" w:type="dxa"/>
            </w:tcMar>
            <w:tcW w:w="76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shd w:val="clear" w:color="ffffff" w:fill="ffffff"/>
            <w:tcBorders>
              <w:top w:val="single" w:color="000000" w:sz="8" w:space="0"/>
              <w:left w:val="single" w:color="000000" w:sz="8" w:space="0"/>
              <w:bottom w:val="single" w:color="000000" w:sz="8" w:space="0"/>
              <w:right w:val="single" w:color="000000" w:sz="8" w:space="0"/>
            </w:tcBorders>
            <w:tcMar>
              <w:left w:w="120" w:type="dxa"/>
              <w:top w:w="60" w:type="dxa"/>
              <w:right w:w="120" w:type="dxa"/>
              <w:bottom w:w="30" w:type="dxa"/>
            </w:tcMar>
            <w:tcW w:w="178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名称</w:t>
            </w:r>
            <w:r/>
          </w:p>
        </w:tc>
        <w:tc>
          <w:tcPr>
            <w:shd w:val="clear" w:color="ffffff" w:fill="ffffff"/>
            <w:tcBorders>
              <w:top w:val="single" w:color="000000" w:sz="8" w:space="0"/>
              <w:left w:val="single" w:color="000000" w:sz="8" w:space="0"/>
              <w:bottom w:val="single" w:color="000000" w:sz="8" w:space="0"/>
              <w:right w:val="single" w:color="000000" w:sz="8" w:space="0"/>
            </w:tcBorders>
            <w:tcMar>
              <w:left w:w="120" w:type="dxa"/>
              <w:top w:w="60" w:type="dxa"/>
              <w:right w:w="120" w:type="dxa"/>
              <w:bottom w:w="30" w:type="dxa"/>
            </w:tcMar>
            <w:tcW w:w="155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长度（公里）</w:t>
            </w:r>
            <w:r/>
          </w:p>
        </w:tc>
        <w:tc>
          <w:tcPr>
            <w:shd w:val="clear" w:color="ffffff" w:fill="ffffff"/>
            <w:tcBorders>
              <w:top w:val="single" w:color="000000" w:sz="8" w:space="0"/>
              <w:left w:val="single" w:color="000000" w:sz="8" w:space="0"/>
              <w:bottom w:val="single" w:color="000000" w:sz="8" w:space="0"/>
              <w:right w:val="single" w:color="000000" w:sz="8" w:space="0"/>
            </w:tcBorders>
            <w:tcMar>
              <w:left w:w="120" w:type="dxa"/>
              <w:top w:w="60" w:type="dxa"/>
              <w:right w:w="120" w:type="dxa"/>
              <w:bottom w:w="30" w:type="dxa"/>
            </w:tcMar>
            <w:tcW w:w="1626"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宽度（米）</w:t>
            </w:r>
            <w:r/>
          </w:p>
        </w:tc>
        <w:tc>
          <w:tcPr>
            <w:shd w:val="clear" w:color="ffffff" w:fill="ffffff"/>
            <w:tcBorders>
              <w:top w:val="single" w:color="000000" w:sz="8" w:space="0"/>
              <w:left w:val="single" w:color="000000" w:sz="8" w:space="0"/>
              <w:bottom w:val="single" w:color="000000" w:sz="8" w:space="0"/>
              <w:right w:val="single" w:color="000000" w:sz="8" w:space="0"/>
            </w:tcBorders>
            <w:tcMar>
              <w:left w:w="120" w:type="dxa"/>
              <w:top w:w="60" w:type="dxa"/>
              <w:right w:w="120" w:type="dxa"/>
              <w:bottom w:w="30" w:type="dxa"/>
            </w:tcMar>
            <w:tcW w:w="226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备注</w:t>
            </w:r>
            <w:r/>
          </w:p>
        </w:tc>
      </w:tr>
      <w:tr>
        <w:trPr>
          <w:trHeight w:val="533"/>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76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78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育才路</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55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0.3</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626"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26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主要道路</w:t>
            </w:r>
            <w:r/>
          </w:p>
        </w:tc>
      </w:tr>
      <w:tr>
        <w:trPr>
          <w:trHeight w:val="533"/>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76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78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育才路</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55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0.3</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626"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26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主要道路</w:t>
            </w:r>
            <w:r/>
          </w:p>
        </w:tc>
      </w:tr>
      <w:tr>
        <w:trPr>
          <w:trHeight w:val="533"/>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76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78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永昌路</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55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0.5</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626"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26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主要道路</w:t>
            </w:r>
            <w:r/>
          </w:p>
        </w:tc>
      </w:tr>
      <w:tr>
        <w:trPr>
          <w:trHeight w:val="533"/>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76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78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开元路</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55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0.9</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626"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26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主要干道</w:t>
            </w:r>
            <w:r/>
          </w:p>
        </w:tc>
      </w:tr>
      <w:tr>
        <w:trPr>
          <w:trHeight w:val="533"/>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76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78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9排河路</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55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626"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26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主要道路</w:t>
            </w:r>
            <w:r/>
          </w:p>
        </w:tc>
      </w:tr>
      <w:tr>
        <w:trPr>
          <w:trHeight w:val="533"/>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76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78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四平路</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55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0.7</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626"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26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主要道路</w:t>
            </w:r>
            <w:r/>
          </w:p>
        </w:tc>
      </w:tr>
      <w:tr>
        <w:trPr>
          <w:trHeight w:val="533"/>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76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78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沁园路</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55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0.3</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626"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26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主要道路</w:t>
            </w:r>
            <w:r/>
          </w:p>
        </w:tc>
      </w:tr>
      <w:tr>
        <w:trPr>
          <w:trHeight w:val="533"/>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76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78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创业路</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55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0.3</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626"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26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主要道路</w:t>
            </w:r>
            <w:r/>
          </w:p>
        </w:tc>
      </w:tr>
      <w:tr>
        <w:trPr>
          <w:trHeight w:val="533"/>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76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78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南平快速路</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55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626"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26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主要道路</w:t>
            </w:r>
            <w:r/>
          </w:p>
        </w:tc>
      </w:tr>
      <w:tr>
        <w:trPr>
          <w:trHeight w:val="533"/>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76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78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1、2、8组庄内路</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55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626"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26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庄内道路</w:t>
            </w:r>
            <w:r/>
          </w:p>
        </w:tc>
      </w:tr>
      <w:tr>
        <w:trPr>
          <w:trHeight w:val="659"/>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76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78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3、5、9、10组庄内路</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55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626"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26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庄内道路</w:t>
            </w:r>
            <w:r/>
          </w:p>
        </w:tc>
      </w:tr>
      <w:tr>
        <w:trPr>
          <w:trHeight w:val="533"/>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76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78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九排河北面路东至新荡交界西至新建支渠</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55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626"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26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次要道路</w:t>
            </w:r>
            <w:r/>
          </w:p>
        </w:tc>
      </w:tr>
      <w:tr>
        <w:trPr>
          <w:trHeight w:val="533"/>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76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78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八排河北面路东至伏堆河桥西至新建支渠</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55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626"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26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次要道路</w:t>
            </w:r>
            <w:r/>
          </w:p>
        </w:tc>
      </w:tr>
      <w:tr>
        <w:trPr>
          <w:trHeight w:val="533"/>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76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78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八排河南面路东至伏堆河西至新建支渠</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55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626"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26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次要道路</w:t>
            </w:r>
            <w:r/>
          </w:p>
        </w:tc>
      </w:tr>
      <w:tr>
        <w:trPr>
          <w:trHeight w:val="533"/>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76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78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七排河南面路东至公墓西至新建支渠</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55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626"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26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次要道路</w:t>
            </w:r>
            <w:r/>
          </w:p>
        </w:tc>
      </w:tr>
      <w:tr>
        <w:trPr>
          <w:trHeight w:val="533"/>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76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78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七排河至八排河中心路</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55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626"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26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次要道路</w:t>
            </w:r>
            <w:r/>
          </w:p>
        </w:tc>
      </w:tr>
      <w:tr>
        <w:trPr>
          <w:trHeight w:val="533"/>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76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78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平建小七队庄内路2条</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55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626"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26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庄内道路</w:t>
            </w:r>
            <w:r/>
          </w:p>
        </w:tc>
      </w:tr>
      <w:tr>
        <w:trPr>
          <w:trHeight w:val="533"/>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76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78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伏堆河东面路南至甲鸭汪交界北至新荡界</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55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626"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26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次要道路</w:t>
            </w:r>
            <w:r/>
          </w:p>
        </w:tc>
      </w:tr>
      <w:tr>
        <w:trPr>
          <w:trHeight w:val="533"/>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76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78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新建支渠南至四组、北至大沟小桥</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55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626"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26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次要道路</w:t>
            </w:r>
            <w:r/>
          </w:p>
        </w:tc>
      </w:tr>
      <w:tr>
        <w:trPr>
          <w:trHeight w:val="533"/>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76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78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平建4、6队门前路西至海七线</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55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626"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26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次要道路</w:t>
            </w:r>
            <w:r/>
          </w:p>
        </w:tc>
      </w:tr>
      <w:tr>
        <w:trPr>
          <w:trHeight w:val="533"/>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76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78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4、6队庄内路</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55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626"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26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庄内道路</w:t>
            </w:r>
            <w:r/>
          </w:p>
        </w:tc>
      </w:tr>
      <w:tr>
        <w:trPr>
          <w:trHeight w:val="533"/>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76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78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新建支渠西面路</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55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0.3</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626"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26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次要道路</w:t>
            </w:r>
            <w:r/>
          </w:p>
        </w:tc>
      </w:tr>
      <w:tr>
        <w:trPr>
          <w:trHeight w:val="533"/>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76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78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平建街道环城路</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55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626"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26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主要道路</w:t>
            </w:r>
            <w:r/>
          </w:p>
        </w:tc>
      </w:tr>
      <w:tr>
        <w:trPr>
          <w:trHeight w:val="533"/>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764"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78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平建社区</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55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1626"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26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社区主要道路</w:t>
            </w:r>
            <w:r/>
          </w:p>
        </w:tc>
      </w:tr>
    </w:tbl>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3、垃圾中转站管理作业服务范围：</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垃圾中转站包括王集1座、薛荡1座、头甲1座、河堆1座和平建1座，总计5座。</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三、服务内容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1、负责区域内主次道路、街巷路面工清扫保洁服务；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2、负责区域内与街巷交界处延伸道路的保洁；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3、负责区域内道路绿化隔离带及道路两侧人行道、辅路、绿化带保洁；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4、负责区域道路保洁范围内花池、公交站台、护栏、景观亭、各类线杆、果壳箱、垃圾箱桶、标识牌等公共设施的保洁；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5、负责区域道路两侧范围内公共场地（广场、公园）的清扫保洁；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6、负责区域内道路抛撒物应急清理；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7、负责区域内积存垃圾的清运、生活垃圾清运；</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8、负责垃圾中转站内保洁、设备检查、维护；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9、负责南河镇政府大院内保洁、垃圾清运服务等服务内容。</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四、服务要求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（一）总体要求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具有健全的日常清扫保洁、河道清理、垃圾清运等管理制度、自检自查制度、应急处理制度。如遇突发事件，采购人在紧急情况下有权调用中标人人员和车辆参与应急任务。作业服务须达到队伍整齐规范、机械设备齐全状态优良、质量优质高效、环境整洁优美的基本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（二）人工作业基本要求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1、本次招标人工作业包括不具备列入机械化清扫的道路清扫、快慢道路保洁、人行道清扫保洁、垃圾桶垃圾清运等内容。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2、时间要求：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（1）“道路人工清扫保洁日工作小时数”说明：8小时是指每天的6:00-10:00和13:00-17:00。作业时间段内均必须安排人员进行保洁作业。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（2）有关休息时间的说明：具体在岗作业休息时间由中标人灵活安排；遇重大检查时作业方式按采购人的要求执行。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3、道路清扫具体要求：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（1）车行道、人行道及绿化带内废弃物，如果皮、纸屑、塑膜、烟蒂、痰迹等做到及时清理。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（2）全路段清扫无死角，垃圾无漏收，人工清扫保洁后的垃圾，必须及时清除，不得将垃圾扫入窨井、河道、绿地内。机械清扫每日2次，第一次普扫必须在7：30前完成，人工清扫每日1次。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（3）降雪天气，应及时组织铲雪作业。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（三）机械化作业基本要求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1、作业时间安排：</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（1）机械化清洗作业可根据实际情况和需要安排在日间或夜间进行。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每日22:00开始组织冲洗作业（每年3月1日—12月31日），并依次组织清扫和清洗作业（也可安排日间作业），至次日上午7:00前全部撤离作业路段；洒水季节（每年3月1日—12月31日）组织车辆在9:00—15:00作业。非核心区域路段的各项作业和一级道路每日增加1次的日间机械化清扫作业，在确保回避交通高峰的情况下，作业时间可根据需要自行组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（3）当气温≤5℃时，桥面、坡道的冲洗及清洗作业应暂停；当气温≤2℃时，必须停止全部冲洗及清洗作业，与此同时道路清扫全部采用干扫（不喷水）作业方式。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2、作业行驶要求：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清扫作业时选用一挡，行驶速度不超过10公里/小时，副机转速不超过2000转/分，应严格按照放刷、喷水、调整箱体压力和刷盘转速、清扫的顺序进行操作；非特殊气候情况下，避免“干扫”；作业时禁止扫刷、吸嘴不落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（2）作业时须开启警示灯和示宽灯，夜间禁鸣，日间适当鸣号。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（3）作业人员必须按照规定的时间、线路、频次和作业模式作业；作业时应穿戴统一的、具有明显警示标识的工作服，并保持着装整洁。不得有滞留马路和加油加水超时等情况。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（4）车辆行驶、停放必须遵守《道路交通安全法》对车辆的基本管理要求，任何交通违法行为责任由中标方自行承担。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3、机械化作业车辆容貌要求：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（1）车体整洁明亮、各种配件齐全、使用功能齐备，各项作业装置保持完好、有效。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（2）车尾应有反光标志（或加贴反光膜）。车体杜绝吊挂、抛洒污物，滴漏水、油液体等现象。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4、调度和管理要求：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（1）科学合理调配作业车辆分布比例及运行。每班作业应按规定填写出车日志，作业车辆应在规定地点取水、清洁污物箱，机械化作业收集的垃圾倒入指定转运站。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（2）建立健全车辆维修、保养和检查制度，必须确保出车车况良好。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（3）如遇死角、道路两侧行道树过低过近、垃圾杂物体积过长过大、落叶季节、窨井腰眼不畅通、有杂物或被堵塞等工况无法满足环卫机械化作业条件时，需组织人工配合作业。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（4）如遇其他突发事件、重大活动，采购方有权调动中标方的车辆和人员参与应急，中标方须无条件服从。</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（四）农贸市场保洁要求：</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负责农贸市场外围的保洁、垃圾清运等并保持其干净整洁。</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（五）垃圾中转站保洁要求：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负责镇区服务范围内垃圾中转站的日常运行、站内环境保洁（统一维保后交给中标人）。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（六）镇政府院内作业要求：</w:t>
      </w:r>
      <w:r/>
    </w:p>
    <w:p>
      <w:pPr>
        <w:ind w:left="0" w:right="0" w:firstLine="72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1、室内公共区域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（1）楼道地面、楼梯每日拖洗一次，巡回保洁，无积灰、污迹、垃圾、水。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（2）扶手、门：每日擦抹一次，无灰尘、污迹。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（3）会议室、活动室每日清洁一次，保持无灰尘。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（4）玻璃、天花、保持干净明亮，无明显积灰、无蜘蛛网。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（5）依据会议、活动日程安排提前搞好卫生、桌椅摆放、会议或活动结束后打扫干净。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卫生间保持每天消毒，保持地面清洁、无杂物、无积水、无异味、便池、水池下水道保持畅通。墙面四周及阴角做到无水迹、无蜘蛛网；镜子及金属部分，应保持干净，无浮尘、污渍、手印、水迹、无锈斑。</w:t>
      </w:r>
      <w:r/>
    </w:p>
    <w:p>
      <w:pPr>
        <w:ind w:left="0" w:right="0" w:firstLine="72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2、室外公共区域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（1）庭院、道路地面、绿地：每日清扫一次，并巡回保洁。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（2）垃圾收集：对垃圾每天进行清除、外运，做到垃圾日产日清，保持垃圾全部进垃圾箱，保持箱外无垃圾。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（3）垃圾桶（箱）保持桶体清洁无污迹、无异味、无损坏，定期进行消毒。</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（4）门厅玻璃每月擦拭两次，无灰尘、无污迹。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（5）消毒灭害：窨井、明沟、垃圾房喷洒药水，每季一次（6、7、8、9月每月喷洒一次），每年灭鼠、灭蟑螂三次，无明显蚊蝇滋生地、鼠迹。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（七）垃圾箱（桶）、果壳箱清运清洗要求：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1、保洁道路的垃圾箱（桶）、果壳箱每天2清运1清洗。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2、垃圾箱（桶）、果壳箱垃圾清运完成时间（按每日早、晚二次）：7:00前、21:00前；清洗完成时间：9:00前，清洗结束应及时收集沿街垃圾。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3、如遇垃圾箱（桶）、果壳箱外溢时，应随时组织收运。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4、所有路段内的垃圾箱（桶）、果壳箱应保持干净、整洁，无乱张贴、乱涂写，无外溢情形，无随意焚烧现象。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5、垃圾箱（桶）、果壳箱有损坏应及时报甲方维修或更换，确保完好。</w:t>
      </w:r>
      <w:r/>
    </w:p>
    <w:p>
      <w:pPr>
        <w:ind w:left="0" w:right="0" w:firstLine="24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五、供应商能力要求</w:t>
      </w:r>
      <w:r/>
    </w:p>
    <w:p>
      <w:pPr>
        <w:ind w:left="0" w:right="0" w:firstLine="24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（一）人员配备要求</w:t>
      </w:r>
      <w:r/>
    </w:p>
    <w:tbl>
      <w:tblPr>
        <w:tblStyle w:val="70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56"/>
        <w:gridCol w:w="2002"/>
        <w:gridCol w:w="1537"/>
        <w:gridCol w:w="4744"/>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岗位名称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37"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 量（人）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744"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   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7"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44" w:type="dxa"/>
            <w:vAlign w:val="center"/>
            <w:textDirection w:val="lrTb"/>
            <w:noWrap w:val="false"/>
          </w:tcPr>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50周岁以下，具有大专及以上学历，持有安全方面相关证书（证明）的优先，要具有环卫项目管理经验，负责项目总体运行。</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副项目经理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7"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44" w:type="dxa"/>
            <w:vAlign w:val="center"/>
            <w:textDirection w:val="lrTb"/>
            <w:noWrap w:val="false"/>
          </w:tcPr>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50周岁以下，具有环卫项目管理经验，协助处理日常运行中的具体工作。</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7"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44" w:type="dxa"/>
            <w:vAlign w:val="center"/>
            <w:textDirection w:val="lrTb"/>
            <w:noWrap w:val="false"/>
          </w:tcPr>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负责道路、小区院落等日常保洁。</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垃圾清运员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7"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44" w:type="dxa"/>
            <w:vAlign w:val="center"/>
            <w:textDirection w:val="lrTb"/>
            <w:noWrap w:val="false"/>
          </w:tcPr>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负责垃圾清运、垃圾转运。</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中转站操作员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7"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44" w:type="dxa"/>
            <w:vAlign w:val="center"/>
            <w:textDirection w:val="lrTb"/>
            <w:noWrap w:val="false"/>
          </w:tcPr>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负责中转站日常维护、清洁。</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驾驶员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7"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44" w:type="dxa"/>
            <w:vAlign w:val="center"/>
            <w:textDirection w:val="lrTb"/>
            <w:noWrap w:val="false"/>
          </w:tcPr>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60周岁以下，负责环卫作业车辆驾驶，道路机械清扫、垃圾清运等。 </w:t>
            </w:r>
            <w:r/>
          </w:p>
        </w:tc>
      </w:tr>
      <w:tr>
        <w:trPr>
          <w:trHeight w:val="56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58"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7"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44" w:type="dxa"/>
            <w:vAlign w:val="center"/>
            <w:textDirection w:val="lrTb"/>
            <w:noWrap w:val="false"/>
          </w:tcPr>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bl>
    <w:p>
      <w:pPr>
        <w:ind w:left="0" w:right="0" w:firstLine="0"/>
        <w:spacing w:before="313"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（二）拟投入作业车辆设备要求</w:t>
      </w:r>
      <w:r/>
    </w:p>
    <w:tbl>
      <w:tblPr>
        <w:tblStyle w:val="70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79"/>
        <w:gridCol w:w="2713"/>
        <w:gridCol w:w="2107"/>
        <w:gridCol w:w="1819"/>
      </w:tblGrid>
      <w:tr>
        <w:trPr>
          <w:trHeight w:val="64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投入设备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备注</w:t>
            </w:r>
            <w:r/>
          </w:p>
        </w:tc>
      </w:tr>
      <w:tr>
        <w:trPr>
          <w:trHeight w:val="6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8吨</w:t>
            </w:r>
            <w:r>
              <w:rPr>
                <w:rFonts w:ascii="SimSun" w:hAnsi="SimSun" w:eastAsia="SimSun" w:cs="SimSun"/>
                <w:color w:val="000000"/>
                <w:sz w:val="24"/>
              </w:rPr>
              <w:t xml:space="preserve">洗扫车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w:t>
            </w:r>
            <w:r>
              <w:rPr>
                <w:rFonts w:ascii="SimSun" w:hAnsi="SimSun" w:eastAsia="SimSun" w:cs="SimSun"/>
                <w:color w:val="000000"/>
                <w:sz w:val="24"/>
              </w:rPr>
              <w:t xml:space="preserve">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8吨多功能抑尘车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w:t>
            </w:r>
            <w:r>
              <w:rPr>
                <w:rFonts w:ascii="SimSun" w:hAnsi="SimSun" w:eastAsia="SimSun" w:cs="SimSun"/>
                <w:color w:val="000000"/>
                <w:sz w:val="24"/>
              </w:rPr>
              <w:t xml:space="preserve">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3吨压缩式垃圾车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w:t>
            </w:r>
            <w:r>
              <w:rPr>
                <w:rFonts w:ascii="SimSun" w:hAnsi="SimSun" w:eastAsia="SimSun" w:cs="SimSun"/>
                <w:color w:val="000000"/>
                <w:sz w:val="24"/>
              </w:rPr>
              <w:t xml:space="preserve">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3吨车厢可卸式垃圾车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电动三轮</w:t>
            </w:r>
            <w:r>
              <w:rPr>
                <w:rFonts w:ascii="SimSun" w:hAnsi="SimSun" w:eastAsia="SimSun" w:cs="SimSun"/>
                <w:color w:val="000000"/>
                <w:sz w:val="24"/>
              </w:rPr>
              <w:t xml:space="preserve">清运车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5</w:t>
            </w:r>
            <w:r>
              <w:rPr>
                <w:rFonts w:ascii="SimSun" w:hAnsi="SimSun" w:eastAsia="SimSun" w:cs="SimSun"/>
                <w:color w:val="000000"/>
                <w:sz w:val="24"/>
              </w:rPr>
              <w:t xml:space="preserve">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注：作业车辆设备配备至少要配置上述数量并不低于上述配置要求。</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（三）供应商需具备丰富的环境维护运营经验，确保本项目的顺利实施，供应商自2023年1月1日以来（以合同签订时间为准）有类似业绩的优先。</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七、服务方案</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供应商应根据采购需求和本项目实际，制订相应的服务方案包括但不限于以下内容：</w:t>
      </w:r>
      <w:r/>
    </w:p>
    <w:p>
      <w:pPr>
        <w:ind w:left="0" w:right="0" w:firstLine="482"/>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1、项目整体设想</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根据采购需求和本项目实际情况，提供本项目环境维护运营工作的程序与方法，方案包含但不限于：（1）对整个项目的现状进行分析，确定服务工作重点难点，并提出有效的解决措施；（2）根据本项目服务范围、地理位置、气候环境及招标文件要求，拟定了本项目的环境保洁服务总体思路和设想等。</w:t>
      </w:r>
      <w:r/>
    </w:p>
    <w:p>
      <w:pPr>
        <w:ind w:left="0" w:right="0" w:firstLine="482"/>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2、管理机构和管理制度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供应商应根据采购需求提供管理机构和管理制度，至少包含以下内容：</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（1）管理机构配备</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（2）道路环卫机械化及人工作业管理制度</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（3）垃圾收运作业管理制度</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（4）员工录用、考核和淘汰制度</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（5）员工培训计划等</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3、清扫保洁方案</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供应商应根据采购需求和本项目实际，提供本项目环境维护运营工作的程序与方法，方案包含但不限于：</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（1）道路环卫机械化清扫保洁方案（含机械化清扫、冲洗、洒水、清洗的全过程）；</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（2）人工清扫保洁方案（含道路人工保洁、果壳箱/垃圾桶收集清洗维护等）。</w:t>
      </w:r>
      <w:r/>
    </w:p>
    <w:p>
      <w:pPr>
        <w:ind w:left="0" w:right="0" w:firstLine="422"/>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4、垃圾收运方案</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供应商应根据采购需求提供垃圾收运方案，至少包含以下内容：</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（1）垃圾收运工作计划</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（2）垃圾收运的作业规程</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（3）垃圾收运的运输方案</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（4）管理考核方案等</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5、质量保证方案</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供应商应根据采购需求和本项目实际，提供质量保证方案，方案包含但不限于：</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（1）项目运行保障措施</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（2）服务质量保障措施</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（3）质量控制方案等</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6、安全文明保障方案</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供应商应根据采购需求和本项目实际，提供安全文明保障方案，方案包含但不限于：</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（1）安全制度、安全预案</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（2）全员安全培训方案</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（3）安全设施配备及安全检查及记录要求</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（4）意外伤害赔偿措施和风险规避措施</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（5）事故发生后的应对处理办法</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（6）文明管理保障方案等</w:t>
      </w:r>
      <w:r/>
    </w:p>
    <w:p>
      <w:pPr>
        <w:ind w:left="0" w:right="0" w:firstLine="482"/>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7、项目应急保障方案</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为保障本项目运营期间，节假日、迎接重大活动、恶劣天气及突发事件等应急事项，供应商应根据实际情况制定相关应急处理方案，至少包含以下内容：</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（1）应急保障体系</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（2）节假日应急预案</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（3）迎接重大活动的保障应急预案</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（4）恶劣天气及突发事件应急预案等</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八、付款方式</w:t>
      </w:r>
      <w:r/>
    </w:p>
    <w:p>
      <w:pPr>
        <w:ind w:left="0" w:right="0" w:firstLine="480"/>
        <w:jc w:val="both"/>
        <w:spacing w:before="0" w:after="0" w:line="85" w:lineRule="atLeast"/>
        <w:tabs>
          <w:tab w:val="left" w:pos="4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1、本项目环境保洁服务费按月支付，结合考评结果确定月应付款项，考评合格后次月的10号前支付上个月的服务费用。</w:t>
      </w:r>
      <w:r/>
    </w:p>
    <w:p>
      <w:pPr>
        <w:ind w:left="0" w:right="0" w:firstLine="480"/>
        <w:jc w:val="both"/>
        <w:spacing w:before="0" w:after="0" w:line="85" w:lineRule="atLeast"/>
        <w:tabs>
          <w:tab w:val="left" w:pos="4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2、中标人收款前必须提供正式发票。</w:t>
      </w:r>
      <w:r/>
    </w:p>
    <w:p>
      <w:pPr>
        <w:ind w:left="0" w:right="0" w:firstLine="241"/>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九、作业考评细则</w:t>
      </w:r>
      <w:r/>
    </w:p>
    <w:p>
      <w:pPr>
        <w:ind w:left="0" w:right="0" w:firstLine="48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1、保持路面整洁，做到道路无垃圾、杂物及无明显脏乱差（道路有垃圾、杂物及明显脏乱差，发现一处扣0.5分）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2、绿化带可视范围内无白色污染物（有白色污染物，发现一处扣0.5分）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3、不得将落叶等垃圾扫入绿化带或者焚烧（垃圾扫入绿化带或者焚烧，发现一次扣0.5分）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4、保持垃圾收集点、垃圾桶、垃圾箱等外围环境整洁，做到即满即清（未及时清理，发现一处扣0.5分，有一次投诉扣1分）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5、所有清扫保洁人员穿戴工作服上岗，严格执行操作规范（未穿戴工作服或者工人违规操作，发现一次扣0.5分）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6、保持农贸市场外围无垃圾，环境干净整洁。（发现一处扣0.5分）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7、保持垃圾中转站内部整洁，做到无垃圾和污水外溢（发现一次扣0.5分）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8、保证镇政府院内环境整洁，无白色垃圾，垃圾箱周围无垃圾外溢。（发现一次扣0.5分）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9、如发现长期未保洁清运的卫生死角、垃圾积存点。（发现一处扣1分）</w:t>
      </w:r>
      <w:r/>
    </w:p>
    <w:p>
      <w:pPr>
        <w:ind w:left="0" w:right="0" w:firstLine="480"/>
        <w:jc w:val="both"/>
        <w:spacing w:before="0" w:after="0" w:line="85" w:lineRule="atLeast"/>
        <w:tabs>
          <w:tab w:val="left" w:pos="4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甲方对乙方的服务按月进行考核打分，如有扣分事项需进行现场拍照并加以书面记录。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环境保洁月考核分数满分100分。月考核分数≥70分，该月度服务费全额拨付；月考核分数低于70分，每低1分扣50元；月考核分数低于65分，每低1分扣100元；月考核分低于60分，每低1分扣150元，甲方发出整改书面通知，如乙方连续三个月考核分低于60分且经整改仍然不达标，甲方有权提出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847"/>
        <w:ind w:left="0" w:right="0" w:firstLine="0"/>
        <w:jc w:val="center"/>
        <w:spacing w:before="100" w:after="100" w:line="6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u w:val="none"/>
        </w:rPr>
        <w:t xml:space="preserve">第五章</w:t>
      </w:r>
      <w:r>
        <w:rPr>
          <w:rFonts w:ascii="Calibri" w:hAnsi="Calibri" w:eastAsia="Calibri" w:cs="Calibri"/>
          <w:b/>
          <w:color w:val="000000"/>
          <w:sz w:val="44"/>
          <w:u w:val="none"/>
        </w:rPr>
        <w:t xml:space="preserve">  </w:t>
      </w:r>
      <w:r>
        <w:rPr>
          <w:rFonts w:ascii="SimHei" w:hAnsi="SimHei" w:eastAsia="SimHei" w:cs="SimHei"/>
          <w:b/>
          <w:color w:val="000000"/>
          <w:sz w:val="44"/>
          <w:u w:val="none"/>
        </w:rPr>
        <w:t xml:space="preserve">评标方法与评标标准</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一、定标原则</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w:t>
      </w:r>
      <w:r>
        <w:rPr>
          <w:rFonts w:ascii="SimSun" w:hAnsi="SimSun" w:eastAsia="SimSun" w:cs="SimSun"/>
          <w:color w:val="000000"/>
          <w:sz w:val="24"/>
          <w:u w:val="single"/>
        </w:rPr>
        <w:t xml:space="preserve"> 综合评分 </w:t>
      </w:r>
      <w:r>
        <w:rPr>
          <w:rFonts w:ascii="SimSun" w:hAnsi="SimSun" w:eastAsia="SimSun" w:cs="SimSun"/>
          <w:color w:val="000000"/>
          <w:sz w:val="24"/>
        </w:rPr>
        <w:t xml:space="preserve">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left="0" w:right="0" w:firstLine="441"/>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政府采购政策功能落实</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315"/>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（1）本项目专门面向中小企业采购，不再对小型和微型企业报价给予价格扣除。</w:t>
      </w:r>
      <w:r/>
    </w:p>
    <w:p>
      <w:pPr>
        <w:ind w:left="0" w:right="0" w:firstLine="3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（2）供应商需按照采购文件的要求提供相应的《中小企业声明函》。</w:t>
      </w:r>
      <w:r/>
    </w:p>
    <w:p>
      <w:pPr>
        <w:ind w:left="0" w:right="0" w:firstLine="3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（3）企业标准请参照《关于印发中小企业划型标准规定的通知》（工信部联企业〔2011〕300号）文件规定自行填写。</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0" w:right="0" w:firstLine="3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w:t>
      </w:r>
      <w:r>
        <w:rPr>
          <w:rFonts w:ascii="SimSun" w:hAnsi="SimSun" w:eastAsia="SimSun" w:cs="SimSun"/>
          <w:color w:val="000000"/>
          <w:sz w:val="24"/>
          <w:u w:val="single"/>
        </w:rPr>
        <w:t xml:space="preserve">。</w:t>
      </w:r>
      <w:r/>
    </w:p>
    <w:p>
      <w:pPr>
        <w:ind w:left="0" w:right="0" w:firstLine="3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0" w:right="0" w:firstLine="3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3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w:t>
      </w:r>
      <w:r>
        <w:rPr>
          <w:rFonts w:ascii="SimSun" w:hAnsi="SimSun" w:eastAsia="SimSun" w:cs="SimSun"/>
          <w:color w:val="000000"/>
          <w:sz w:val="24"/>
          <w:u w:val="single"/>
        </w:rPr>
        <w:t xml:space="preserve">。</w:t>
      </w:r>
      <w:r/>
    </w:p>
    <w:p>
      <w:pPr>
        <w:ind w:left="0" w:right="0" w:firstLine="3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 </w:t>
      </w:r>
      <w:r/>
    </w:p>
    <w:p>
      <w:pPr>
        <w:ind w:left="0" w:right="0" w:firstLine="3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SimSun" w:hAnsi="SimSun" w:eastAsia="SimSun" w:cs="SimSun"/>
          <w:b/>
          <w:color w:val="000000"/>
          <w:sz w:val="24"/>
        </w:rPr>
        <w:t xml:space="preserve">如属政府强制采购产品未提供认证证书的或认证证书提供不全的将视为未实质性响应采购要求</w:t>
      </w:r>
      <w:r>
        <w:rPr>
          <w:rFonts w:ascii="SimSun" w:hAnsi="SimSun" w:eastAsia="SimSun" w:cs="SimSun"/>
          <w:color w:val="000000"/>
          <w:sz w:val="24"/>
        </w:rPr>
        <w:t xml:space="preserve">。其他条件相同情况下，应当优先采购节能产品、环境标志产品。</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二、评标方法与评标标准</w:t>
      </w:r>
      <w:r/>
    </w:p>
    <w:tbl>
      <w:tblPr>
        <w:tblStyle w:val="70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794"/>
        <w:gridCol w:w="828"/>
        <w:gridCol w:w="7166"/>
        <w:gridCol w:w="409"/>
      </w:tblGrid>
      <w:tr>
        <w:trPr>
          <w:trHeight w:val="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tcPr>
          <w:p>
            <w:pPr>
              <w:ind w:left="0" w:right="0" w:firstLine="0"/>
              <w:jc w:val="center"/>
              <w:spacing w:before="0" w:after="0" w:line="320" w:lineRule="atLeast"/>
              <w:tabs>
                <w:tab w:val="left" w:pos="283" w:leader="none"/>
              </w:tabs>
              <w:pBdr>
                <w:top w:val="none" w:color="000000" w:sz="4" w:space="0"/>
                <w:left w:val="none" w:color="000000" w:sz="4" w:space="0"/>
                <w:bottom w:val="none" w:color="000000" w:sz="4" w:space="0"/>
                <w:right w:val="none" w:color="000000" w:sz="4" w:space="0"/>
              </w:pBdr>
            </w:pPr>
            <w:r>
              <w:rPr>
                <w:rFonts w:ascii="NSimSun" w:hAnsi="NSimSun" w:eastAsia="NSimSun" w:cs="NSimSun"/>
                <w:b/>
                <w:color w:val="000000"/>
                <w:sz w:val="21"/>
              </w:rPr>
              <w:t xml:space="preserve">评审项目</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94"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NSimSun" w:hAnsi="NSimSun" w:eastAsia="NSimSun" w:cs="NSimSun"/>
                <w:b/>
                <w:color w:val="000000"/>
                <w:sz w:val="21"/>
              </w:rPr>
              <w:t xml:space="preserve">评分细则</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09"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NSimSun" w:hAnsi="NSimSun" w:eastAsia="NSimSun" w:cs="NSimSun"/>
                <w:b/>
                <w:color w:val="000000"/>
                <w:sz w:val="21"/>
              </w:rPr>
              <w:t xml:space="preserve">最高分值</w:t>
            </w:r>
            <w:r/>
          </w:p>
        </w:tc>
      </w:tr>
      <w:tr>
        <w:trPr>
          <w:trHeight w:val="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1"/>
              </w:rPr>
              <w:t xml:space="preserve">价格部分（15分）</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94" w:type="dxa"/>
            <w:vAlign w:val="center"/>
            <w:textDirection w:val="lrTb"/>
            <w:noWrap/>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1"/>
              </w:rPr>
              <w:t xml:space="preserve">投标报价分采用低价优先法计算，即满足招标文件要求且报价最低的投标人报价为评标基准价，其报价分为满分15分，其他投标人的报价得分统一按照以下公式计算：投标报价得分=(评标基准价/该投标人的投标报价)×15分（四舍五入后保留小数点后两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09"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1"/>
              </w:rPr>
              <w:t xml:space="preserve">15</w:t>
            </w:r>
            <w:r/>
          </w:p>
        </w:tc>
      </w:tr>
      <w:tr>
        <w:trPr>
          <w:trHeight w:val="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vMerge w:val="restart"/>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1"/>
              </w:rPr>
              <w:t xml:space="preserve">服务方案（47分）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tcPr>
          <w:p>
            <w:pPr>
              <w:ind w:left="0" w:right="-10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项目整体设想</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66" w:type="dxa"/>
            <w:vAlign w:val="center"/>
            <w:textDirection w:val="lrTb"/>
            <w:noWrap/>
          </w:tcPr>
          <w:p>
            <w:pPr>
              <w:ind w:left="0" w:right="-107" w:firstLine="21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评标委员会根据投标人提供（1）对整个项目的现状进行分析，确定服务工作重点难点，并提</w:t>
            </w:r>
            <w:r>
              <w:rPr>
                <w:rFonts w:ascii="NSimSun" w:hAnsi="NSimSun" w:eastAsia="NSimSun" w:cs="NSimSun"/>
                <w:color w:val="000000"/>
                <w:sz w:val="21"/>
              </w:rPr>
              <w:t xml:space="preserve">出有效的解决措施；（2）提供的项目总体思路和设想</w:t>
            </w:r>
            <w:r>
              <w:rPr>
                <w:rFonts w:ascii="SimSun" w:hAnsi="SimSun" w:eastAsia="SimSun" w:cs="SimSun"/>
                <w:color w:val="000000"/>
                <w:sz w:val="21"/>
              </w:rPr>
              <w:t xml:space="preserve">等进行综合评分，方案优于项目需求的得6分，符合项目需求的得4分，不符合要求或未提供的不得分。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09"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1"/>
              </w:rPr>
              <w:t xml:space="preserve">6</w:t>
            </w:r>
            <w:r/>
          </w:p>
        </w:tc>
      </w:tr>
      <w:tr>
        <w:trPr>
          <w:trHeight w:val="23"/>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tcPr>
          <w:p>
            <w:pPr>
              <w:ind w:left="0" w:right="-10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管理机构和管理制度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66" w:type="dxa"/>
            <w:vAlign w:val="center"/>
            <w:textDirection w:val="lrTb"/>
            <w:noWrap/>
          </w:tcPr>
          <w:p>
            <w:pPr>
              <w:ind w:left="0" w:right="-107" w:firstLine="21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评标委员会根据投标人提供的（1）管理机构配备；（2）道路环卫机械化及人工作业管理制度；（3）垃圾收运作业管理制度；（4）员工录用、考核和淘汰制度；（5）员工培训计划</w:t>
            </w:r>
            <w:r>
              <w:rPr>
                <w:rFonts w:ascii="NSimSun" w:hAnsi="NSimSun" w:eastAsia="NSimSun" w:cs="NSimSun"/>
                <w:color w:val="000000"/>
                <w:sz w:val="21"/>
              </w:rPr>
              <w:t xml:space="preserve">等进行综合评分，</w:t>
            </w:r>
            <w:r>
              <w:rPr>
                <w:rFonts w:ascii="SimSun" w:hAnsi="SimSun" w:eastAsia="SimSun" w:cs="SimSun"/>
                <w:color w:val="000000"/>
                <w:sz w:val="21"/>
              </w:rPr>
              <w:t xml:space="preserve">方案优于项目需求的得5分，符合项目需求的得3分，不符合要求或未提供的不得分。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09"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1"/>
              </w:rPr>
              <w:t xml:space="preserve">5</w:t>
            </w:r>
            <w:r/>
          </w:p>
        </w:tc>
      </w:tr>
      <w:tr>
        <w:trPr>
          <w:trHeight w:val="23"/>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tcPr>
          <w:p>
            <w:pPr>
              <w:ind w:left="0" w:right="-10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1"/>
              </w:rPr>
              <w:t xml:space="preserve">清扫保洁方案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66" w:type="dxa"/>
            <w:vAlign w:val="center"/>
            <w:textDirection w:val="lrTb"/>
            <w:noWrap/>
          </w:tcPr>
          <w:p>
            <w:pPr>
              <w:ind w:left="0" w:right="-107" w:firstLine="21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评标委员会根据投标人提供的（1）道路环卫机械化清扫保洁方案（含机械化清扫、冲洗、洒水、清洗的全过程）；（2）人工清扫保洁方案（含道路人工保洁、果壳箱/垃圾桶收集清洗维护等）等</w:t>
            </w:r>
            <w:r>
              <w:rPr>
                <w:rFonts w:ascii="NSimSun" w:hAnsi="NSimSun" w:eastAsia="NSimSun" w:cs="NSimSun"/>
                <w:color w:val="000000"/>
                <w:sz w:val="21"/>
              </w:rPr>
              <w:t xml:space="preserve">进行综合评分，</w:t>
            </w:r>
            <w:r>
              <w:rPr>
                <w:rFonts w:ascii="SimSun" w:hAnsi="SimSun" w:eastAsia="SimSun" w:cs="SimSun"/>
                <w:color w:val="000000"/>
                <w:sz w:val="21"/>
              </w:rPr>
              <w:t xml:space="preserve">方案优于项目需求的得9分，符合项目需求的得7分，不符合要求或未提供的不得分。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09"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1"/>
              </w:rPr>
              <w:t xml:space="preserve">9</w:t>
            </w:r>
            <w:r/>
          </w:p>
        </w:tc>
      </w:tr>
      <w:tr>
        <w:trPr>
          <w:trHeight w:val="1536"/>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tcPr>
          <w:p>
            <w:pPr>
              <w:ind w:left="0" w:right="-10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1"/>
              </w:rPr>
              <w:t xml:space="preserve">垃圾收运方案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66" w:type="dxa"/>
            <w:vAlign w:val="center"/>
            <w:textDirection w:val="lrTb"/>
            <w:noWrap/>
          </w:tcPr>
          <w:p>
            <w:pPr>
              <w:ind w:left="0" w:right="-107" w:firstLine="21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评标委员会根据投标人提供的（1）垃圾收运工作计划；（2）垃圾收运的作业规程；（3）垃圾收运的运输方案；（4）管理考核方案等</w:t>
            </w:r>
            <w:r>
              <w:rPr>
                <w:rFonts w:ascii="NSimSun" w:hAnsi="NSimSun" w:eastAsia="NSimSun" w:cs="NSimSun"/>
                <w:color w:val="000000"/>
                <w:sz w:val="21"/>
              </w:rPr>
              <w:t xml:space="preserve">进行综合评分，</w:t>
            </w:r>
            <w:r>
              <w:rPr>
                <w:rFonts w:ascii="SimSun" w:hAnsi="SimSun" w:eastAsia="SimSun" w:cs="SimSun"/>
                <w:color w:val="000000"/>
                <w:sz w:val="21"/>
              </w:rPr>
              <w:t xml:space="preserve">方案优于项目需求的得8分，符合项目需求的得6分，不符合要求或未提供的不得分。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09"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1"/>
              </w:rPr>
              <w:t xml:space="preserve">8</w:t>
            </w:r>
            <w:r/>
          </w:p>
        </w:tc>
      </w:tr>
      <w:tr>
        <w:trPr>
          <w:trHeight w:val="1210"/>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tcPr>
          <w:p>
            <w:pPr>
              <w:ind w:left="0" w:right="-10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1"/>
              </w:rPr>
              <w:t xml:space="preserve">质量保证方案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66" w:type="dxa"/>
            <w:vAlign w:val="center"/>
            <w:textDirection w:val="lrTb"/>
            <w:noWrap/>
          </w:tcPr>
          <w:tbl>
            <w:tblPr>
              <w:tblStyle w:val="70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7214"/>
            </w:tblGrid>
            <w:tr>
              <w:trPr>
                <w:trHeight w:val="12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4" w:type="dxa"/>
                  <w:vAlign w:val="center"/>
                  <w:textDirection w:val="lrTb"/>
                  <w:noWrap/>
                </w:tcPr>
                <w:p>
                  <w:pPr>
                    <w:ind w:left="0" w:right="-107" w:firstLine="21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评标委员会根据投标人提供的（1）项目运行保障措施；（2）服务质量保障措施；（3）质量控制方案等进行综合评分，方案优于项目需求的得6分，符合项目需求的得4分，不符合要求或未提供的不得分。</w:t>
                  </w:r>
                  <w:r/>
                </w:p>
              </w:tc>
            </w:tr>
          </w:tbl>
          <w:p>
            <w:pPr>
              <w:ind w:left="0" w:right="-107" w:firstLine="21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09"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1"/>
              </w:rPr>
              <w:t xml:space="preserve">6</w:t>
            </w:r>
            <w:r/>
          </w:p>
        </w:tc>
      </w:tr>
      <w:tr>
        <w:trPr>
          <w:trHeight w:val="1276"/>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tcPr>
          <w:p>
            <w:pPr>
              <w:ind w:left="0" w:right="-10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1"/>
              </w:rPr>
              <w:t xml:space="preserve">安全文明保障方案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66" w:type="dxa"/>
            <w:vAlign w:val="center"/>
            <w:textDirection w:val="lrTb"/>
            <w:noWrap/>
          </w:tcPr>
          <w:p>
            <w:pPr>
              <w:ind w:left="0" w:right="-107" w:firstLine="21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根据投标人提供的（1）安全制度、安全预案；（2）全员安全培训计划；（3）安全设施配备及安全检查及记录要求；（4）意外伤害赔偿措施和风险规避措施；（5）事故发生后的应对处理办法；（6）文明作业保障措施等进行综合评分，方案优于项目需求的得6分，符合项目需求的得4分，不符合要求或未提供的不得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09"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1"/>
              </w:rPr>
              <w:t xml:space="preserve">6</w:t>
            </w:r>
            <w:r/>
          </w:p>
        </w:tc>
      </w:tr>
      <w:tr>
        <w:trPr>
          <w:trHeight w:val="1210"/>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tcPr>
          <w:p>
            <w:pPr>
              <w:ind w:left="0" w:right="-10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1"/>
              </w:rPr>
              <w:t xml:space="preserve">项目应急保障方案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66" w:type="dxa"/>
            <w:vAlign w:val="center"/>
            <w:textDirection w:val="lrTb"/>
            <w:noWrap/>
          </w:tcPr>
          <w:p>
            <w:pPr>
              <w:ind w:left="0" w:right="0" w:firstLine="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根据投标人提供的（1）应急保障体系；（2）节假日应急预案；（3）迎接重大活动的保障应急预案；（4）恶劣天气及突发事件应急预案等进行综合评分，方案优于项目需求的得7分，符合项目需求的得5分，不符合要求或未提供的不得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09"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1"/>
              </w:rPr>
              <w:t xml:space="preserve">7</w:t>
            </w:r>
            <w:r/>
          </w:p>
        </w:tc>
      </w:tr>
      <w:tr>
        <w:trPr>
          <w:trHeight w:val="33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vMerge w:val="restart"/>
            <w:textDirection w:val="lrTb"/>
            <w:noWrap/>
          </w:tcPr>
          <w:p>
            <w:pPr>
              <w:ind w:left="0" w:right="-10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1"/>
              </w:rPr>
              <w:t xml:space="preserve">企业实力</w:t>
            </w:r>
            <w:r/>
          </w:p>
          <w:p>
            <w:pPr>
              <w:ind w:left="0" w:right="-10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1"/>
              </w:rPr>
              <w:t xml:space="preserve">（38分）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tcPr>
          <w:p>
            <w:pPr>
              <w:ind w:left="0" w:right="-10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人员配备能力</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66" w:type="dxa"/>
            <w:vAlign w:val="center"/>
            <w:textDirection w:val="lrTb"/>
            <w:noWrap/>
          </w:tcPr>
          <w:p>
            <w:pPr>
              <w:ind w:left="0" w:right="0" w:firstLine="210"/>
              <w:spacing w:before="0" w:after="0" w:line="360" w:lineRule="atLeast"/>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1"/>
              </w:rPr>
              <w:t xml:space="preserve">1、</w:t>
            </w:r>
            <w:r>
              <w:rPr>
                <w:rFonts w:ascii="SimSun" w:hAnsi="SimSun" w:eastAsia="SimSun" w:cs="SimSun"/>
                <w:color w:val="000000"/>
                <w:sz w:val="21"/>
              </w:rPr>
              <w:t xml:space="preserve">拟派驻项目经理：具有本科及以上学历得2分，大专学历得1分，</w:t>
            </w:r>
            <w:r>
              <w:rPr>
                <w:rFonts w:ascii="NSimSun" w:hAnsi="NSimSun" w:eastAsia="NSimSun" w:cs="NSimSun"/>
                <w:color w:val="000000"/>
                <w:sz w:val="21"/>
              </w:rPr>
              <w:t xml:space="preserve">同时提供身份证原件正反面扫描件、学历证书原件扫描件、学信网截图</w:t>
            </w:r>
            <w:r>
              <w:rPr>
                <w:rFonts w:ascii="SimSun" w:hAnsi="SimSun" w:eastAsia="SimSun" w:cs="SimSun"/>
                <w:color w:val="000000"/>
                <w:sz w:val="21"/>
              </w:rPr>
              <w:t xml:space="preserve">，</w:t>
            </w:r>
            <w:r>
              <w:rPr>
                <w:rFonts w:ascii="SimSun" w:hAnsi="SimSun" w:eastAsia="SimSun" w:cs="SimSun"/>
                <w:color w:val="000000"/>
                <w:spacing w:val="-4"/>
                <w:sz w:val="21"/>
              </w:rPr>
              <w:t xml:space="preserve">不提供不得分</w:t>
            </w:r>
            <w:r>
              <w:rPr>
                <w:rFonts w:ascii="SimSun" w:hAnsi="SimSun" w:eastAsia="SimSun" w:cs="SimSun"/>
                <w:color w:val="000000"/>
                <w:sz w:val="21"/>
              </w:rPr>
              <w:t xml:space="preserve">。</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1"/>
              </w:rPr>
              <w:t xml:space="preserve">2、拟派驻项目经理持有安全方面相关证书</w:t>
            </w:r>
            <w:r>
              <w:rPr>
                <w:rFonts w:ascii="SimSun" w:hAnsi="SimSun" w:eastAsia="SimSun" w:cs="SimSun"/>
                <w:color w:val="000000"/>
                <w:sz w:val="21"/>
              </w:rPr>
              <w:t xml:space="preserve">（证明）</w:t>
            </w:r>
            <w:r>
              <w:rPr>
                <w:rFonts w:ascii="NSimSun" w:hAnsi="NSimSun" w:eastAsia="NSimSun" w:cs="NSimSun"/>
                <w:color w:val="000000"/>
                <w:sz w:val="21"/>
              </w:rPr>
              <w:t xml:space="preserve">的得3分。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注：须提供上述证书（证明），同时提供开标前近三个月内任意一个月在本单位缴纳养老保险参保缴费证明（带二维码）扫描件，不提供不得分。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09"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1"/>
              </w:rPr>
              <w:t xml:space="preserve">5</w:t>
            </w:r>
            <w:r/>
          </w:p>
        </w:tc>
      </w:tr>
      <w:tr>
        <w:trPr>
          <w:trHeight w:val="2103"/>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tcPr>
          <w:p>
            <w:pPr>
              <w:ind w:left="0" w:right="-10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1"/>
              </w:rPr>
              <w:t xml:space="preserve">企业业绩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6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1、供应商自2023年1月1日以来（以合同签订时间为准），有类似服务项目的，每提供一个有效业绩合同得4分，本项最高得20分。</w:t>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注：业绩合同须体现甲乙双方单位名称、项目名称及服务内容。同一个项目名称、同一个项目续签的合同，仅视为一个业绩，不重复计算。投标时须提供符合上述业绩要求的合同原件的彩色扫描件，否则不计分。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09"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1"/>
              </w:rPr>
              <w:t xml:space="preserve">20</w:t>
            </w:r>
            <w:r/>
          </w:p>
        </w:tc>
      </w:tr>
      <w:tr>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tcPr>
          <w:p>
            <w:pPr>
              <w:ind w:left="0" w:right="-10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1"/>
              </w:rPr>
              <w:t xml:space="preserve">设备配备能力</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66" w:type="dxa"/>
            <w:vAlign w:val="center"/>
            <w:textDirection w:val="lrTb"/>
            <w:noWrap/>
          </w:tcPr>
          <w:p>
            <w:pPr>
              <w:ind w:left="0" w:right="-107"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1、电动三轮清运车：每辆得1分，最多得5分。</w:t>
            </w:r>
            <w:r/>
          </w:p>
          <w:p>
            <w:pPr>
              <w:ind w:left="0" w:right="-107"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2、3吨车厢可卸式垃圾车：每辆得1分，最多得2分。</w:t>
            </w:r>
            <w:r/>
          </w:p>
          <w:p>
            <w:pPr>
              <w:ind w:left="0" w:right="-107"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3、8吨多功能抑尘车：每辆得2分，最多得2分。</w:t>
            </w:r>
            <w:r/>
          </w:p>
          <w:p>
            <w:pPr>
              <w:ind w:left="0" w:right="-107"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4、3吨压缩式垃圾车：每辆得2分，最多得2分。</w:t>
            </w:r>
            <w:r/>
          </w:p>
          <w:p>
            <w:pPr>
              <w:ind w:left="0" w:right="-107"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5、8吨洗扫车：每辆得2分，最多得2分。</w:t>
            </w:r>
            <w:r/>
          </w:p>
          <w:p>
            <w:pPr>
              <w:ind w:left="0" w:right="0" w:firstLine="420"/>
              <w:jc w:val="both"/>
              <w:spacing w:before="72" w:after="5"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注：设备为自有的，提供车辆发票原件彩色扫描件，发票上单位名称须和投标人名称相同，否则不得分；</w:t>
            </w:r>
            <w:r/>
          </w:p>
          <w:p>
            <w:pPr>
              <w:ind w:left="0" w:right="0" w:firstLine="420"/>
              <w:jc w:val="both"/>
              <w:spacing w:before="72" w:after="5"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为已租赁的，须提供投标单位的租赁协议（租赁期限需覆盖本项目服务期）、车辆（正面、侧面、尾部三个不同方向拍摄）照片（三张照片均须提供，否则不得分）、行驶证、车辆登记证、交强险保单正本扫描件（行驶证、车辆登记证、交强险保单上载明的所有人必须为出租方单位，且车辆需在检验有效期内）。</w:t>
            </w:r>
            <w:r/>
          </w:p>
          <w:p>
            <w:pPr>
              <w:ind w:left="0" w:right="-107"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如承诺中标后配置的，须在投标文件中提供承诺函（包含完整的车辆配置清单）。承诺自领取中标通知书并签订合同后30日内车辆配置到位，如配置不到位的，将解除合同。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09" w:type="dxa"/>
            <w:vAlign w:val="center"/>
            <w:textDirection w:val="lrTb"/>
            <w:noWrap/>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1"/>
              </w:rPr>
              <w:t xml:space="preserve">13</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注：（1）上述与评分相关的证书、业绩等证明材料，未提供的（所提供材料均为彩色扫描件加盖单位公章）或不在有效期内的、或虚假的不予计分。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（2）评审时打分保留小数点后两位数,评分分值计算保留小数点后两位,小数点后第三位“四舍五入”，取所有评委评分的平均值作为投标人得分。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pStyle w:val="847"/>
        <w:ind w:left="0" w:right="0" w:firstLine="0"/>
        <w:jc w:val="center"/>
        <w:spacing w:before="100" w:after="100" w:line="6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第六章</w:t>
      </w:r>
      <w:r>
        <w:rPr>
          <w:rFonts w:ascii="Calibri" w:hAnsi="Calibri" w:eastAsia="Calibri" w:cs="Calibri"/>
          <w:b/>
          <w:color w:val="000000"/>
          <w:sz w:val="44"/>
        </w:rPr>
        <w:t xml:space="preserve">  </w:t>
      </w:r>
      <w:r>
        <w:rPr>
          <w:rFonts w:ascii="SimHei" w:hAnsi="SimHei" w:eastAsia="SimHei" w:cs="SimHei"/>
          <w:b/>
          <w:color w:val="000000"/>
          <w:sz w:val="44"/>
        </w:rPr>
        <w:t xml:space="preserve">投标文件格式</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u w:val="none"/>
        </w:rPr>
        <w:t xml:space="preserve">投  标  文  件</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108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 名 称：</w:t>
      </w:r>
      <w:r>
        <w:rPr>
          <w:rFonts w:ascii="SimSun" w:hAnsi="SimSun" w:eastAsia="SimSun" w:cs="SimSun"/>
          <w:b/>
          <w:color w:val="000000"/>
          <w:sz w:val="36"/>
          <w:u w:val="single"/>
        </w:rPr>
        <w:t xml:space="preserve">               </w:t>
      </w:r>
      <w:r/>
    </w:p>
    <w:p>
      <w:pPr>
        <w:ind w:left="0" w:right="0" w:firstLine="108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 编 号：</w:t>
      </w:r>
      <w:r>
        <w:rPr>
          <w:rFonts w:ascii="SimSun" w:hAnsi="SimSun" w:eastAsia="SimSun" w:cs="SimSun"/>
          <w:b/>
          <w:color w:val="000000"/>
          <w:sz w:val="36"/>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（加盖CA电子公章）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   期 ：</w:t>
      </w:r>
      <w:r>
        <w:rPr>
          <w:rFonts w:ascii="SimSun" w:hAnsi="SimSun" w:eastAsia="SimSun" w:cs="SimSun"/>
          <w:b/>
          <w:color w:val="000000"/>
          <w:sz w:val="36"/>
          <w:u w:val="single"/>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rPr>
          <w:rFonts w:ascii="SimSun" w:hAnsi="SimSun" w:eastAsia="SimSun" w:cs="SimSun"/>
          <w:b/>
          <w:bCs/>
          <w:color w:val="000000"/>
          <w:sz w:val="36"/>
          <w:szCs w:val="36"/>
          <w:highlight w:val="none"/>
          <w:u w:val="singl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single"/>
        </w:rPr>
        <w:t xml:space="preserve"> </w:t>
      </w:r>
      <w:r/>
    </w:p>
    <w:p>
      <w:pPr>
        <w:ind w:left="0" w:right="0" w:firstLine="0"/>
        <w:jc w:val="center"/>
        <w:spacing w:before="240" w:after="240"/>
        <w:rPr>
          <w:rFonts w:ascii="Calibri" w:hAnsi="Calibri" w:eastAsia="Calibri" w:cs="Calibri"/>
          <w:sz w:val="24"/>
          <w:szCs w:val="24"/>
        </w:rPr>
        <w:pBdr>
          <w:top w:val="none" w:color="000000" w:sz="4" w:space="0"/>
          <w:left w:val="none" w:color="000000" w:sz="4" w:space="0"/>
          <w:bottom w:val="none" w:color="000000" w:sz="4" w:space="0"/>
          <w:right w:val="none" w:color="000000" w:sz="4" w:space="0"/>
        </w:pBdr>
      </w:pPr>
      <w:r>
        <w:rPr>
          <w:rFonts w:ascii="Calibri" w:hAnsi="Calibri" w:eastAsia="Calibri" w:cs="Calibri"/>
          <w:sz w:val="24"/>
          <w:szCs w:val="24"/>
        </w:rPr>
      </w:r>
      <w:r>
        <w:rPr>
          <w:rFonts w:ascii="Calibri" w:hAnsi="Calibri" w:eastAsia="Calibri" w:cs="Calibri"/>
          <w:sz w:val="24"/>
          <w:szCs w:val="24"/>
        </w:rPr>
      </w:r>
    </w:p>
    <w:p>
      <w:pPr>
        <w:ind w:left="0" w:right="0" w:firstLine="0"/>
        <w:jc w:val="center"/>
        <w:spacing w:before="240" w:after="240"/>
        <w:rPr>
          <w:rFonts w:ascii="Calibri" w:hAnsi="Calibri" w:eastAsia="Calibri" w:cs="Calibri"/>
          <w:sz w:val="24"/>
          <w:szCs w:val="24"/>
        </w:rPr>
        <w:pBdr>
          <w:top w:val="none" w:color="000000" w:sz="4" w:space="0"/>
          <w:left w:val="none" w:color="000000" w:sz="4" w:space="0"/>
          <w:bottom w:val="none" w:color="000000" w:sz="4" w:space="0"/>
          <w:right w:val="none" w:color="000000" w:sz="4" w:space="0"/>
        </w:pBdr>
      </w:pPr>
      <w:r>
        <w:rPr>
          <w:rFonts w:ascii="Calibri" w:hAnsi="Calibri" w:eastAsia="Calibri" w:cs="Calibri"/>
          <w:sz w:val="24"/>
          <w:szCs w:val="24"/>
        </w:rPr>
      </w:r>
      <w:r>
        <w:rPr>
          <w:rFonts w:ascii="Calibri" w:hAnsi="Calibri" w:eastAsia="Calibri" w:cs="Calibri"/>
          <w:sz w:val="24"/>
          <w:szCs w:val="24"/>
        </w:rPr>
      </w:r>
    </w:p>
    <w:p>
      <w:pPr>
        <w:ind w:left="0" w:right="0" w:firstLine="0"/>
        <w:jc w:val="center"/>
        <w:spacing w:before="240" w:after="240"/>
        <w:rPr>
          <w:rFonts w:ascii="Calibri" w:hAnsi="Calibri" w:eastAsia="Calibri" w:cs="Calibri"/>
          <w:sz w:val="24"/>
          <w:szCs w:val="24"/>
        </w:rPr>
        <w:pBdr>
          <w:top w:val="none" w:color="000000" w:sz="4" w:space="0"/>
          <w:left w:val="none" w:color="000000" w:sz="4" w:space="0"/>
          <w:bottom w:val="none" w:color="000000" w:sz="4" w:space="0"/>
          <w:right w:val="none" w:color="000000" w:sz="4" w:space="0"/>
        </w:pBdr>
      </w:pPr>
      <w:r>
        <w:rPr>
          <w:rFonts w:ascii="Calibri" w:hAnsi="Calibri" w:eastAsia="Calibri" w:cs="Calibri"/>
          <w:sz w:val="24"/>
          <w:szCs w:val="24"/>
        </w:rPr>
      </w:r>
      <w:r>
        <w:rPr>
          <w:rFonts w:ascii="Calibri" w:hAnsi="Calibri" w:eastAsia="Calibri" w:cs="Calibri"/>
          <w:sz w:val="24"/>
          <w:szCs w:val="24"/>
        </w:rPr>
      </w:r>
    </w:p>
    <w:p>
      <w:pPr>
        <w:ind w:left="0" w:right="0" w:firstLine="0"/>
        <w:jc w:val="center"/>
        <w:spacing w:before="240" w:after="240"/>
        <w:rPr>
          <w:rFonts w:ascii="Calibri" w:hAnsi="Calibri" w:eastAsia="Calibri" w:cs="Calibri"/>
          <w:sz w:val="24"/>
          <w:szCs w:val="24"/>
        </w:rPr>
        <w:pBdr>
          <w:top w:val="none" w:color="000000" w:sz="4" w:space="0"/>
          <w:left w:val="none" w:color="000000" w:sz="4" w:space="0"/>
          <w:bottom w:val="none" w:color="000000" w:sz="4" w:space="0"/>
          <w:right w:val="none" w:color="000000" w:sz="4" w:space="0"/>
        </w:pBdr>
      </w:pPr>
      <w:r>
        <w:rPr>
          <w:rFonts w:ascii="Calibri" w:hAnsi="Calibri" w:eastAsia="Calibri" w:cs="Calibri"/>
          <w:sz w:val="24"/>
          <w:szCs w:val="24"/>
        </w:rPr>
      </w:r>
      <w:r>
        <w:rPr>
          <w:rFonts w:ascii="Calibri" w:hAnsi="Calibri" w:eastAsia="Calibri" w:cs="Calibri"/>
          <w:sz w:val="24"/>
          <w:szCs w:val="24"/>
        </w:rPr>
      </w:r>
    </w:p>
    <w:p>
      <w:pPr>
        <w:ind w:left="0" w:right="0" w:firstLine="0"/>
        <w:jc w:val="center"/>
        <w:spacing w:before="240" w:after="240"/>
        <w:rPr>
          <w:rFonts w:ascii="Calibri" w:hAnsi="Calibri" w:eastAsia="Calibri" w:cs="Calibri"/>
          <w:sz w:val="24"/>
          <w:szCs w:val="24"/>
        </w:rPr>
        <w:pBdr>
          <w:top w:val="none" w:color="000000" w:sz="4" w:space="0"/>
          <w:left w:val="none" w:color="000000" w:sz="4" w:space="0"/>
          <w:bottom w:val="none" w:color="000000" w:sz="4" w:space="0"/>
          <w:right w:val="none" w:color="000000" w:sz="4" w:space="0"/>
        </w:pBdr>
      </w:pPr>
      <w:r>
        <w:rPr>
          <w:rFonts w:ascii="Calibri" w:hAnsi="Calibri" w:eastAsia="Calibri" w:cs="Calibri"/>
          <w:sz w:val="24"/>
          <w:szCs w:val="24"/>
        </w:rPr>
      </w:r>
      <w:r>
        <w:rPr>
          <w:rFonts w:ascii="Calibri" w:hAnsi="Calibri" w:eastAsia="Calibri" w:cs="Calibri"/>
          <w:sz w:val="24"/>
          <w:szCs w:val="24"/>
        </w:rPr>
      </w:r>
    </w:p>
    <w:p>
      <w:pPr>
        <w:ind w:left="0" w:right="0" w:firstLine="0"/>
        <w:jc w:val="center"/>
        <w:spacing w:before="240" w:after="240"/>
        <w:rPr>
          <w:rFonts w:ascii="Calibri" w:hAnsi="Calibri" w:eastAsia="Calibri" w:cs="Calibri"/>
          <w:sz w:val="24"/>
          <w:szCs w:val="24"/>
        </w:rPr>
        <w:pBdr>
          <w:top w:val="none" w:color="000000" w:sz="4" w:space="0"/>
          <w:left w:val="none" w:color="000000" w:sz="4" w:space="0"/>
          <w:bottom w:val="none" w:color="000000" w:sz="4" w:space="0"/>
          <w:right w:val="none" w:color="000000" w:sz="4" w:space="0"/>
        </w:pBdr>
      </w:pPr>
      <w:r>
        <w:rPr>
          <w:rFonts w:ascii="Calibri" w:hAnsi="Calibri" w:eastAsia="Calibri" w:cs="Calibri"/>
          <w:sz w:val="24"/>
          <w:szCs w:val="24"/>
        </w:rPr>
      </w:r>
      <w:r>
        <w:rPr>
          <w:rFonts w:ascii="Calibri" w:hAnsi="Calibri" w:eastAsia="Calibri" w:cs="Calibri"/>
          <w:sz w:val="24"/>
          <w:szCs w:val="24"/>
        </w:rPr>
      </w:r>
    </w:p>
    <w:p>
      <w:pPr>
        <w:ind w:left="0" w:right="0" w:firstLine="0"/>
        <w:jc w:val="center"/>
        <w:spacing w:before="240" w:after="240"/>
        <w:rPr>
          <w:rFonts w:ascii="Calibri" w:hAnsi="Calibri" w:eastAsia="Calibri" w:cs="Calibri"/>
          <w:sz w:val="24"/>
          <w:szCs w:val="24"/>
        </w:rPr>
        <w:pBdr>
          <w:top w:val="none" w:color="000000" w:sz="4" w:space="0"/>
          <w:left w:val="none" w:color="000000" w:sz="4" w:space="0"/>
          <w:bottom w:val="none" w:color="000000" w:sz="4" w:space="0"/>
          <w:right w:val="none" w:color="000000" w:sz="4" w:space="0"/>
        </w:pBdr>
      </w:pPr>
      <w:r>
        <w:rPr>
          <w:rFonts w:ascii="Calibri" w:hAnsi="Calibri" w:eastAsia="Calibri" w:cs="Calibri"/>
          <w:sz w:val="24"/>
          <w:szCs w:val="24"/>
        </w:rPr>
      </w:r>
      <w:r>
        <w:rPr>
          <w:rFonts w:ascii="Calibri" w:hAnsi="Calibri" w:eastAsia="Calibri" w:cs="Calibri"/>
          <w:sz w:val="24"/>
          <w:szCs w:val="24"/>
        </w:rPr>
      </w:r>
    </w:p>
    <w:p>
      <w:pPr>
        <w:ind w:left="0" w:right="0" w:firstLine="0"/>
        <w:jc w:val="center"/>
        <w:spacing w:before="240" w:after="240"/>
        <w:rPr>
          <w:rFonts w:ascii="Calibri" w:hAnsi="Calibri" w:eastAsia="Calibri" w:cs="Calibri"/>
          <w:sz w:val="24"/>
          <w:szCs w:val="24"/>
        </w:rPr>
        <w:pBdr>
          <w:top w:val="none" w:color="000000" w:sz="4" w:space="0"/>
          <w:left w:val="none" w:color="000000" w:sz="4" w:space="0"/>
          <w:bottom w:val="none" w:color="000000" w:sz="4" w:space="0"/>
          <w:right w:val="none" w:color="000000" w:sz="4" w:space="0"/>
        </w:pBdr>
      </w:pPr>
      <w:r>
        <w:rPr>
          <w:rFonts w:ascii="Calibri" w:hAnsi="Calibri" w:eastAsia="Calibri" w:cs="Calibri"/>
          <w:sz w:val="24"/>
          <w:szCs w:val="24"/>
        </w:rPr>
      </w:r>
      <w:r>
        <w:rPr>
          <w:rFonts w:ascii="Calibri" w:hAnsi="Calibri" w:eastAsia="Calibri" w:cs="Calibri"/>
          <w:sz w:val="24"/>
          <w:szCs w:val="24"/>
        </w:rPr>
      </w:r>
    </w:p>
    <w:p>
      <w:pPr>
        <w:ind w:left="0" w:right="0" w:firstLine="0"/>
        <w:jc w:val="center"/>
        <w:spacing w:before="240" w:after="240"/>
        <w:rPr>
          <w:rFonts w:ascii="Calibri" w:hAnsi="Calibri" w:eastAsia="Calibri" w:cs="Calibri"/>
          <w:sz w:val="24"/>
          <w:szCs w:val="24"/>
        </w:rPr>
        <w:pBdr>
          <w:top w:val="none" w:color="000000" w:sz="4" w:space="0"/>
          <w:left w:val="none" w:color="000000" w:sz="4" w:space="0"/>
          <w:bottom w:val="none" w:color="000000" w:sz="4" w:space="0"/>
          <w:right w:val="none" w:color="000000" w:sz="4" w:space="0"/>
        </w:pBdr>
      </w:pPr>
      <w:r>
        <w:rPr>
          <w:rFonts w:ascii="Calibri" w:hAnsi="Calibri" w:eastAsia="Calibri" w:cs="Calibri"/>
          <w:sz w:val="24"/>
          <w:szCs w:val="24"/>
        </w:rPr>
      </w:r>
      <w:r>
        <w:rPr>
          <w:rFonts w:ascii="Calibri" w:hAnsi="Calibri" w:eastAsia="Calibri" w:cs="Calibri"/>
          <w:sz w:val="24"/>
          <w:szCs w:val="24"/>
        </w:rPr>
      </w:r>
    </w:p>
    <w:p>
      <w:pPr>
        <w:ind w:left="0" w:right="0" w:firstLine="0"/>
        <w:jc w:val="center"/>
        <w:spacing w:before="240" w:after="240"/>
        <w:rPr>
          <w:rFonts w:ascii="Calibri" w:hAnsi="Calibri" w:eastAsia="Calibri" w:cs="Calibri"/>
          <w:sz w:val="24"/>
          <w:szCs w:val="24"/>
        </w:rPr>
        <w:pBdr>
          <w:top w:val="none" w:color="000000" w:sz="4" w:space="0"/>
          <w:left w:val="none" w:color="000000" w:sz="4" w:space="0"/>
          <w:bottom w:val="none" w:color="000000" w:sz="4" w:space="0"/>
          <w:right w:val="none" w:color="000000" w:sz="4" w:space="0"/>
        </w:pBdr>
      </w:pPr>
      <w:r>
        <w:rPr>
          <w:rFonts w:ascii="Calibri" w:hAnsi="Calibri" w:eastAsia="Calibri" w:cs="Calibri"/>
          <w:sz w:val="24"/>
          <w:szCs w:val="24"/>
        </w:rPr>
      </w:r>
      <w:r>
        <w:rPr>
          <w:rFonts w:ascii="Calibri" w:hAnsi="Calibri" w:eastAsia="Calibri" w:cs="Calibri"/>
          <w:sz w:val="24"/>
          <w:szCs w:val="24"/>
        </w:rPr>
      </w:r>
    </w:p>
    <w:p>
      <w:pPr>
        <w:ind w:left="0" w:right="0" w:firstLine="0"/>
        <w:jc w:val="center"/>
        <w:spacing w:before="240" w:after="240"/>
        <w:rPr>
          <w:rFonts w:ascii="Calibri" w:hAnsi="Calibri" w:eastAsia="Calibri" w:cs="Calibri"/>
          <w:sz w:val="24"/>
          <w:szCs w:val="24"/>
        </w:rPr>
        <w:pBdr>
          <w:top w:val="none" w:color="000000" w:sz="4" w:space="0"/>
          <w:left w:val="none" w:color="000000" w:sz="4" w:space="0"/>
          <w:bottom w:val="none" w:color="000000" w:sz="4" w:space="0"/>
          <w:right w:val="none" w:color="000000" w:sz="4" w:space="0"/>
        </w:pBdr>
      </w:pPr>
      <w:r>
        <w:rPr>
          <w:rFonts w:ascii="Calibri" w:hAnsi="Calibri" w:eastAsia="Calibri" w:cs="Calibri"/>
          <w:sz w:val="24"/>
          <w:szCs w:val="24"/>
        </w:rPr>
      </w:r>
      <w:r>
        <w:rPr>
          <w:rFonts w:ascii="Calibri" w:hAnsi="Calibri" w:eastAsia="Calibri" w:cs="Calibri"/>
          <w:sz w:val="24"/>
          <w:szCs w:val="24"/>
        </w:rPr>
      </w:r>
    </w:p>
    <w:p>
      <w:pPr>
        <w:ind w:left="0" w:right="0" w:firstLine="0"/>
        <w:jc w:val="center"/>
        <w:spacing w:before="240" w:after="240"/>
        <w:rPr>
          <w:rFonts w:ascii="Calibri" w:hAnsi="Calibri" w:eastAsia="Calibri" w:cs="Calibri"/>
          <w:sz w:val="24"/>
          <w:szCs w:val="24"/>
        </w:rPr>
        <w:pBdr>
          <w:top w:val="none" w:color="000000" w:sz="4" w:space="0"/>
          <w:left w:val="none" w:color="000000" w:sz="4" w:space="0"/>
          <w:bottom w:val="none" w:color="000000" w:sz="4" w:space="0"/>
          <w:right w:val="none" w:color="000000" w:sz="4" w:space="0"/>
        </w:pBdr>
      </w:pPr>
      <w:r>
        <w:rPr>
          <w:rFonts w:ascii="Calibri" w:hAnsi="Calibri" w:eastAsia="Calibri" w:cs="Calibri"/>
          <w:sz w:val="24"/>
          <w:szCs w:val="24"/>
        </w:rPr>
      </w:r>
      <w:r>
        <w:rPr>
          <w:rFonts w:ascii="Calibri" w:hAnsi="Calibri" w:eastAsia="Calibri" w:cs="Calibri"/>
          <w:sz w:val="24"/>
          <w:szCs w:val="24"/>
        </w:rPr>
      </w:r>
    </w:p>
    <w:p>
      <w:pPr>
        <w:ind w:left="0" w:right="0" w:firstLine="0"/>
        <w:jc w:val="center"/>
        <w:spacing w:before="240" w:after="240"/>
        <w:rPr>
          <w:rFonts w:ascii="Calibri" w:hAnsi="Calibri" w:eastAsia="Calibri" w:cs="Calibri"/>
          <w:sz w:val="24"/>
          <w:szCs w:val="24"/>
        </w:rPr>
        <w:pBdr>
          <w:top w:val="none" w:color="000000" w:sz="4" w:space="0"/>
          <w:left w:val="none" w:color="000000" w:sz="4" w:space="0"/>
          <w:bottom w:val="none" w:color="000000" w:sz="4" w:space="0"/>
          <w:right w:val="none" w:color="000000" w:sz="4" w:space="0"/>
        </w:pBdr>
      </w:pPr>
      <w:r>
        <w:rPr>
          <w:rFonts w:ascii="Calibri" w:hAnsi="Calibri" w:eastAsia="Calibri" w:cs="Calibri"/>
          <w:sz w:val="24"/>
          <w:szCs w:val="24"/>
        </w:rPr>
      </w:r>
      <w:r>
        <w:rPr>
          <w:rFonts w:ascii="Calibri" w:hAnsi="Calibri" w:eastAsia="Calibri" w:cs="Calibri"/>
          <w:sz w:val="24"/>
          <w:szCs w:val="24"/>
        </w:rPr>
      </w:r>
    </w:p>
    <w:p>
      <w:pPr>
        <w:ind w:left="0" w:right="0" w:firstLine="0"/>
        <w:jc w:val="center"/>
        <w:spacing w:before="240" w:after="240"/>
        <w:rPr>
          <w:rFonts w:ascii="Calibri" w:hAnsi="Calibri" w:eastAsia="Calibri" w:cs="Calibri"/>
          <w:sz w:val="24"/>
          <w:szCs w:val="24"/>
        </w:rPr>
        <w:pBdr>
          <w:top w:val="none" w:color="000000" w:sz="4" w:space="0"/>
          <w:left w:val="none" w:color="000000" w:sz="4" w:space="0"/>
          <w:bottom w:val="none" w:color="000000" w:sz="4" w:space="0"/>
          <w:right w:val="none" w:color="000000" w:sz="4" w:space="0"/>
        </w:pBdr>
      </w:pPr>
      <w:r>
        <w:rPr>
          <w:rFonts w:ascii="Calibri" w:hAnsi="Calibri" w:eastAsia="Calibri" w:cs="Calibri"/>
          <w:sz w:val="24"/>
          <w:szCs w:val="24"/>
        </w:rPr>
      </w:r>
      <w:r>
        <w:rPr>
          <w:rFonts w:ascii="Calibri" w:hAnsi="Calibri" w:eastAsia="Calibri" w:cs="Calibri"/>
          <w:sz w:val="24"/>
          <w:szCs w:val="24"/>
        </w:rPr>
      </w:r>
    </w:p>
    <w:p>
      <w:pPr>
        <w:ind w:left="0" w:right="0" w:firstLine="0"/>
        <w:jc w:val="center"/>
        <w:spacing w:before="240" w:after="240"/>
        <w:rPr>
          <w:rFonts w:ascii="Calibri" w:hAnsi="Calibri" w:eastAsia="Calibri" w:cs="Calibri"/>
          <w:sz w:val="24"/>
          <w:szCs w:val="24"/>
        </w:rPr>
        <w:pBdr>
          <w:top w:val="none" w:color="000000" w:sz="4" w:space="0"/>
          <w:left w:val="none" w:color="000000" w:sz="4" w:space="0"/>
          <w:bottom w:val="none" w:color="000000" w:sz="4" w:space="0"/>
          <w:right w:val="none" w:color="000000" w:sz="4" w:space="0"/>
        </w:pBdr>
      </w:pPr>
      <w:r>
        <w:rPr>
          <w:rFonts w:ascii="Calibri" w:hAnsi="Calibri" w:eastAsia="Calibri" w:cs="Calibri"/>
          <w:sz w:val="24"/>
          <w:szCs w:val="24"/>
        </w:rPr>
      </w:r>
      <w:r>
        <w:rPr>
          <w:rFonts w:ascii="Calibri" w:hAnsi="Calibri" w:eastAsia="Calibri" w:cs="Calibri"/>
          <w:sz w:val="24"/>
          <w:szCs w:val="24"/>
        </w:rPr>
      </w:r>
    </w:p>
    <w:p>
      <w:pPr>
        <w:ind w:left="0" w:right="0" w:firstLine="0"/>
        <w:jc w:val="center"/>
        <w:spacing w:before="240" w:after="240"/>
        <w:rPr>
          <w:rFonts w:ascii="Calibri" w:hAnsi="Calibri" w:eastAsia="Calibri" w:cs="Calibri"/>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u w:val="single"/>
        </w:rPr>
      </w:r>
      <w:r>
        <w:rPr>
          <w:rFonts w:ascii="SimSun" w:hAnsi="SimSun" w:eastAsia="SimSun" w:cs="SimSun"/>
          <w:b/>
          <w:color w:val="000000"/>
          <w:sz w:val="36"/>
          <w:highlight w:val="none"/>
          <w:u w:val="single"/>
        </w:rP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投标文件目录</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480" w:right="0" w:firstLine="0"/>
        <w:jc w:val="both"/>
        <w:spacing w:before="157" w:after="157"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一、法人或者其他组织的营业执照等证明文件，自然人的身份证明</w:t>
      </w:r>
      <w:r/>
    </w:p>
    <w:p>
      <w:pPr>
        <w:ind w:left="0" w:right="0" w:firstLine="480"/>
        <w:spacing w:before="157" w:after="157" w:line="85" w:lineRule="atLeast"/>
        <w:tabs>
          <w:tab w:val="left" w:pos="133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二、上一年度的财务状况报告（成立不满一年无需提供）</w:t>
      </w:r>
      <w:r/>
    </w:p>
    <w:p>
      <w:pPr>
        <w:ind w:left="480" w:right="0" w:firstLine="0"/>
        <w:jc w:val="both"/>
        <w:spacing w:before="157" w:after="157"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三、具备履行合同所必需的设备和专业技术能力的书面声明</w:t>
      </w:r>
      <w:r/>
    </w:p>
    <w:p>
      <w:pPr>
        <w:ind w:left="480" w:right="0" w:firstLine="0"/>
        <w:jc w:val="both"/>
        <w:spacing w:before="157" w:after="157"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right="0" w:firstLine="0"/>
        <w:jc w:val="both"/>
        <w:spacing w:before="157" w:after="157"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五、参加政府采购活动前 3 年内在经营活动中没有重大违法记录的书面声明</w:t>
      </w:r>
      <w:r/>
    </w:p>
    <w:p>
      <w:pPr>
        <w:ind w:left="480" w:right="0" w:firstLine="0"/>
        <w:jc w:val="both"/>
        <w:spacing w:before="157" w:after="157"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六、特定资格要求的证明文件（如果本项目设置特定资格要求，则需要提供）</w:t>
      </w:r>
      <w:r/>
    </w:p>
    <w:p>
      <w:pPr>
        <w:ind w:left="480" w:right="0" w:firstLine="0"/>
        <w:jc w:val="both"/>
        <w:spacing w:before="157" w:after="157"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七、法人授权书</w:t>
      </w:r>
      <w:r/>
    </w:p>
    <w:p>
      <w:pPr>
        <w:ind w:left="480" w:right="0" w:firstLine="0"/>
        <w:jc w:val="both"/>
        <w:spacing w:before="157" w:after="157"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八、投标函</w:t>
      </w:r>
      <w:r/>
    </w:p>
    <w:p>
      <w:pPr>
        <w:ind w:left="0" w:right="0" w:firstLine="480"/>
        <w:jc w:val="both"/>
        <w:spacing w:before="157" w:after="157"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九、中小企业声明函</w:t>
      </w:r>
      <w:r/>
    </w:p>
    <w:p>
      <w:pPr>
        <w:ind w:left="0" w:right="0" w:firstLine="480"/>
        <w:jc w:val="both"/>
        <w:spacing w:before="157" w:after="157"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十、残疾人福利性单位声明函</w:t>
      </w:r>
      <w:r/>
    </w:p>
    <w:p>
      <w:pPr>
        <w:ind w:left="0" w:right="0" w:firstLine="480"/>
        <w:jc w:val="both"/>
        <w:spacing w:before="157" w:after="157"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十一、关于符合本国产品标准的声明函</w:t>
      </w:r>
      <w:r/>
    </w:p>
    <w:p>
      <w:pPr>
        <w:ind w:left="0" w:right="0" w:firstLine="480"/>
        <w:jc w:val="both"/>
        <w:spacing w:before="157" w:after="157"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十二、联合体协议</w:t>
      </w:r>
      <w:r/>
    </w:p>
    <w:p>
      <w:pPr>
        <w:ind w:left="0" w:right="0" w:firstLine="480"/>
        <w:jc w:val="both"/>
        <w:spacing w:before="157" w:after="157"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十三、投标分项报价表</w:t>
      </w:r>
      <w:r/>
    </w:p>
    <w:p>
      <w:pPr>
        <w:ind w:left="0" w:right="0" w:firstLine="480"/>
        <w:jc w:val="both"/>
        <w:spacing w:before="157" w:after="157"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十四、技术要求响应及偏离表</w:t>
      </w:r>
      <w:r/>
    </w:p>
    <w:p>
      <w:pPr>
        <w:ind w:left="0" w:right="0" w:firstLine="480"/>
        <w:jc w:val="both"/>
        <w:spacing w:before="157" w:after="157"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十五、商务要求响应及偏离表</w:t>
      </w:r>
      <w:r/>
    </w:p>
    <w:p>
      <w:pPr>
        <w:ind w:left="480" w:right="0" w:firstLine="0"/>
        <w:jc w:val="both"/>
        <w:spacing w:before="157" w:after="157"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十六、开标一览表</w:t>
      </w:r>
      <w:r/>
    </w:p>
    <w:p>
      <w:pPr>
        <w:ind w:left="0" w:right="0" w:firstLine="480"/>
        <w:jc w:val="both"/>
        <w:spacing w:before="157" w:after="157"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十七、技术方案、服务承诺、培训承诺等</w:t>
      </w:r>
      <w:r/>
    </w:p>
    <w:p>
      <w:pPr>
        <w:ind w:left="0" w:right="0" w:firstLine="480"/>
        <w:jc w:val="both"/>
        <w:spacing w:before="157" w:after="157"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十八、盐城市政府采购事前信用承诺书</w:t>
      </w:r>
      <w:r/>
    </w:p>
    <w:p>
      <w:pPr>
        <w:ind w:left="0" w:right="0" w:firstLine="480"/>
        <w:jc w:val="both"/>
        <w:spacing w:before="157" w:after="157"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一、法人或者其他组织的营业执照等证明文件，自然人的身份证明</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二、上一年度的财务状况报告</w:t>
      </w:r>
      <w:r/>
    </w:p>
    <w:p>
      <w:pPr>
        <w:ind w:left="0" w:right="0" w:firstLine="0"/>
        <w:spacing w:before="0" w:after="0"/>
        <w:tabs>
          <w:tab w:val="left" w:pos="133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（至少提供资产负债表、利润表、现金流量表，投标人成立不满一年无需提供）</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三、具备履行合同所必需的设备和专业技术能力的书面声明</w:t>
      </w:r>
      <w:r/>
    </w:p>
    <w:p>
      <w:pPr>
        <w:ind w:left="0" w:right="0" w:firstLine="49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四、依法缴纳税收和社会保障资金的相关材料</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五、参加政府采购活动前 3 年内在经营活动中没有重大违法记录的书面声明</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声  明</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六、特定资格要求的证明文件</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如果本项目申请人的特定资格要求中要求提供的，必须提供。</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3390"/>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32"/>
          <w:u w:val="single"/>
        </w:rPr>
        <w:t xml:space="preserve">七、法人授权书</w:t>
      </w:r>
      <w:r/>
    </w:p>
    <w:p>
      <w:pPr>
        <w:ind w:left="0" w:right="0" w:firstLine="480"/>
        <w:jc w:val="both"/>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（投标人名称）授权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 （项目编号）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号</w:t>
      </w:r>
      <w:r>
        <w:rPr>
          <w:rFonts w:ascii="SimSun" w:hAnsi="SimSun" w:eastAsia="SimSun" w:cs="SimSun"/>
          <w:color w:val="000000"/>
          <w:sz w:val="24"/>
          <w:u w:val="single"/>
        </w:rPr>
        <w:t xml:space="preserve">  （项目名称）</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jc w:val="both"/>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jc w:val="both"/>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  </w:t>
      </w:r>
      <w:r/>
    </w:p>
    <w:p>
      <w:pPr>
        <w:ind w:left="0" w:right="0" w:firstLine="859"/>
        <w:jc w:val="both"/>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rPr>
          <w:rFonts w:ascii="Times New Roman" w:hAnsi="Times New Roman" w:eastAsia="Times New Roman" w:cs="Times New Roman"/>
          <w:color w:val="000000"/>
          <w:sz w:val="24"/>
          <w:u w:val="single"/>
        </w:rPr>
        <w:t xml:space="preserve">                              </w:t>
      </w:r>
      <w:r/>
    </w:p>
    <w:p>
      <w:pPr>
        <w:ind w:left="0" w:right="0" w:firstLine="0"/>
        <w:jc w:val="both"/>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  被授权人联系电话：（手机）</w:t>
      </w:r>
      <w:r>
        <w:rPr>
          <w:rFonts w:ascii="Times New Roman" w:hAnsi="Times New Roman" w:eastAsia="Times New Roman" w:cs="Times New Roman"/>
          <w:color w:val="000000"/>
          <w:sz w:val="24"/>
          <w:u w:val="single"/>
        </w:rPr>
        <w:t xml:space="preserve">                          </w:t>
      </w:r>
      <w:r/>
    </w:p>
    <w:p>
      <w:pPr>
        <w:ind w:left="0" w:right="0" w:firstLine="960"/>
        <w:jc w:val="both"/>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480"/>
        <w:jc w:val="both"/>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单位地址：</w:t>
      </w:r>
      <w:r>
        <w:rPr>
          <w:rFonts w:ascii="Times New Roman" w:hAnsi="Times New Roman" w:eastAsia="Times New Roman" w:cs="Times New Roman"/>
          <w:color w:val="000000"/>
          <w:sz w:val="24"/>
          <w:u w:val="single"/>
        </w:rPr>
        <w:t xml:space="preserve">                                         </w:t>
      </w:r>
      <w:r/>
    </w:p>
    <w:p>
      <w:pPr>
        <w:ind w:left="0" w:right="0" w:firstLine="480"/>
        <w:jc w:val="both"/>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日期：</w:t>
      </w:r>
      <w:r>
        <w:rPr>
          <w:rFonts w:ascii="Times New Roman" w:hAnsi="Times New Roman" w:eastAsia="Times New Roman" w:cs="Times New Roman"/>
          <w:color w:val="000000"/>
          <w:sz w:val="24"/>
          <w:u w:val="single"/>
        </w:rPr>
        <w:t xml:space="preserve">                                         </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3390"/>
        <w:jc w:val="both"/>
        <w:spacing w:before="260" w:after="260" w:line="98" w:lineRule="atLeast"/>
        <w:pBdr>
          <w:top w:val="none" w:color="000000" w:sz="4" w:space="0"/>
          <w:left w:val="none" w:color="000000" w:sz="4" w:space="0"/>
          <w:bottom w:val="none" w:color="000000" w:sz="4" w:space="0"/>
          <w:right w:val="none" w:color="000000" w:sz="4" w:space="0"/>
        </w:pBdr>
      </w:pPr>
      <w:r>
        <w:br w:type="page" w:clear="all"/>
      </w:r>
      <w:r/>
    </w:p>
    <w:p>
      <w:pPr>
        <w:ind w:left="0" w:right="0" w:firstLine="3390"/>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32"/>
          <w:u w:val="single"/>
        </w:rPr>
        <w:t xml:space="preserve"> 八、投标函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致：响水县南河镇人民政府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w:t>
      </w:r>
      <w:r>
        <w:rPr>
          <w:rFonts w:ascii="SimSun" w:hAnsi="SimSun" w:eastAsia="SimSun" w:cs="SimSun"/>
          <w:color w:val="000000"/>
          <w:sz w:val="24"/>
          <w:u w:val="single"/>
        </w:rPr>
        <w:t xml:space="preserve">  （项目编号）</w:t>
      </w:r>
      <w:r>
        <w:rPr>
          <w:rFonts w:ascii="SimSun" w:hAnsi="SimSun" w:eastAsia="SimSun" w:cs="SimSun"/>
          <w:color w:val="000000"/>
          <w:sz w:val="24"/>
        </w:rPr>
        <w:t xml:space="preserve">招标文件，正式授权下述签字人______(姓名)代表我方______________（投标人的名称），全权处理本次项目投标的有关事宜。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1.按招标文件规定的各项要求，向买方提供所需服务（包含与服务相关的货物）。</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42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p>
    <w:p>
      <w:pPr>
        <w:ind w:left="42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  编：</w:t>
      </w:r>
      <w:r/>
    </w:p>
    <w:p>
      <w:pPr>
        <w:ind w:left="42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w:t>
      </w:r>
      <w:r/>
    </w:p>
    <w:p>
      <w:pPr>
        <w:ind w:left="42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  真：</w:t>
      </w:r>
      <w:r/>
    </w:p>
    <w:p>
      <w:pPr>
        <w:ind w:left="42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42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  号：</w:t>
      </w:r>
      <w:r/>
    </w:p>
    <w:p>
      <w:pPr>
        <w:ind w:left="42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供应商全称（加盖CA电子公章）：</w:t>
      </w:r>
      <w:r/>
    </w:p>
    <w:p>
      <w:pPr>
        <w:ind w:left="42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期：________年____月____日</w:t>
      </w:r>
      <w:r/>
    </w:p>
    <w:p>
      <w:pPr>
        <w:ind w:left="0" w:right="0" w:firstLine="240"/>
        <w:jc w:val="center"/>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32"/>
          <w:u w:val="single"/>
        </w:rPr>
        <w:t xml:space="preserve"> 九、中小企业声明函（服务）</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w:t>
      </w:r>
      <w:r>
        <w:rPr>
          <w:rFonts w:ascii="Calibri" w:hAnsi="Calibri" w:eastAsia="Calibri" w:cs="Calibri"/>
          <w:color w:val="000000"/>
          <w:sz w:val="24"/>
        </w:rPr>
        <w:t xml:space="preserve">2020</w:t>
      </w:r>
      <w:r>
        <w:rPr>
          <w:rFonts w:ascii="SimSun" w:hAnsi="SimSun" w:eastAsia="SimSun" w:cs="SimSun"/>
          <w:color w:val="000000"/>
          <w:sz w:val="24"/>
        </w:rPr>
        <w:t xml:space="preserve">﹞</w:t>
      </w:r>
      <w:r>
        <w:rPr>
          <w:rFonts w:ascii="Calibri" w:hAnsi="Calibri" w:eastAsia="Calibri" w:cs="Calibri"/>
          <w:color w:val="000000"/>
          <w:sz w:val="24"/>
        </w:rPr>
        <w:t xml:space="preserve">46 </w:t>
      </w:r>
      <w:r>
        <w:rPr>
          <w:rFonts w:ascii="SimSun" w:hAnsi="SimSun" w:eastAsia="SimSun" w:cs="SimSun"/>
          <w:color w:val="000000"/>
          <w:sz w:val="24"/>
        </w:rPr>
        <w:t xml:space="preserve">号）的规定，本公司（联合体）参加响水县南河镇人民政府组织的</w:t>
      </w:r>
      <w:r>
        <w:rPr>
          <w:rFonts w:ascii="SimSun" w:hAnsi="SimSun" w:eastAsia="SimSun" w:cs="SimSun"/>
          <w:i/>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     </w:t>
      </w:r>
      <w:r>
        <w:rPr>
          <w:rFonts w:ascii="SimSun" w:hAnsi="SimSun" w:eastAsia="SimSun" w:cs="SimSun"/>
          <w:color w:val="000000"/>
          <w:sz w:val="24"/>
        </w:rPr>
        <w:t xml:space="preserve">的</w:t>
      </w:r>
      <w:r>
        <w:rPr>
          <w:rFonts w:ascii="SimSun" w:hAnsi="SimSun" w:eastAsia="SimSun" w:cs="SimSun"/>
          <w:i/>
          <w:color w:val="000000"/>
          <w:sz w:val="24"/>
          <w:u w:val="single"/>
        </w:rPr>
        <w:t xml:space="preserve">（项目名称）</w:t>
      </w:r>
      <w:r>
        <w:rPr>
          <w:rFonts w:ascii="SimSun" w:hAnsi="SimSun" w:eastAsia="SimSun" w:cs="SimSun"/>
          <w:color w:val="000000"/>
          <w:sz w:val="24"/>
        </w:rPr>
        <w:t xml:space="preserve">的采购活动，服务全部由符合政策要求的中小企业承接。相关企业（含联合体中的中小企业、签订分包意向协议的中小企业）的具体情况如下：</w:t>
      </w:r>
      <w:r/>
    </w:p>
    <w:p>
      <w:pPr>
        <w:numPr>
          <w:ilvl w:val="0"/>
          <w:numId w:val="3"/>
        </w:numPr>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（标的名称）</w:t>
      </w:r>
      <w:r>
        <w:rPr>
          <w:rFonts w:ascii="SimSun" w:hAnsi="SimSun" w:eastAsia="SimSun" w:cs="SimSun"/>
          <w:color w:val="000000"/>
          <w:sz w:val="24"/>
        </w:rPr>
        <w:t xml:space="preserve"> ，属于</w:t>
      </w:r>
      <w:r>
        <w:rPr>
          <w:rFonts w:ascii="SimSun" w:hAnsi="SimSun" w:eastAsia="SimSun" w:cs="SimSun"/>
          <w:i/>
          <w:color w:val="000000"/>
          <w:sz w:val="24"/>
          <w:u w:val="single"/>
        </w:rPr>
        <w:t xml:space="preserve">（采购文件中明确的所属行业）</w:t>
      </w:r>
      <w:r>
        <w:rPr>
          <w:rFonts w:ascii="SimSun" w:hAnsi="SimSun" w:eastAsia="SimSun" w:cs="SimSun"/>
          <w:color w:val="000000"/>
          <w:sz w:val="24"/>
        </w:rPr>
        <w:t xml:space="preserve">；承建（承接）企业为</w:t>
      </w:r>
      <w:r>
        <w:rPr>
          <w:rFonts w:ascii="SimSun" w:hAnsi="SimSun" w:eastAsia="SimSun" w:cs="SimSun"/>
          <w:i/>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i/>
          <w:color w:val="000000"/>
          <w:sz w:val="24"/>
          <w:u w:val="single"/>
        </w:rPr>
        <w:t xml:space="preserve">中型企业、小型企业、微型企业</w:t>
      </w:r>
      <w:r>
        <w:rPr>
          <w:rFonts w:ascii="SimSun" w:hAnsi="SimSun" w:eastAsia="SimSun" w:cs="SimSun"/>
          <w:color w:val="000000"/>
          <w:sz w:val="24"/>
        </w:rPr>
        <w:t xml:space="preserve">）；</w:t>
      </w:r>
      <w:r/>
    </w:p>
    <w:p>
      <w:pPr>
        <w:numPr>
          <w:ilvl w:val="0"/>
          <w:numId w:val="3"/>
        </w:numPr>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（标的名称）</w:t>
      </w:r>
      <w:r>
        <w:rPr>
          <w:rFonts w:ascii="SimSun" w:hAnsi="SimSun" w:eastAsia="SimSun" w:cs="SimSun"/>
          <w:color w:val="000000"/>
          <w:sz w:val="24"/>
        </w:rPr>
        <w:t xml:space="preserve"> ，属于</w:t>
      </w:r>
      <w:r>
        <w:rPr>
          <w:rFonts w:ascii="SimSun" w:hAnsi="SimSun" w:eastAsia="SimSun" w:cs="SimSun"/>
          <w:i/>
          <w:color w:val="000000"/>
          <w:sz w:val="24"/>
          <w:u w:val="single"/>
        </w:rPr>
        <w:t xml:space="preserve">（采购文件中明确的所属行业）</w:t>
      </w:r>
      <w:r>
        <w:rPr>
          <w:rFonts w:ascii="SimSun" w:hAnsi="SimSun" w:eastAsia="SimSun" w:cs="SimSun"/>
          <w:color w:val="000000"/>
          <w:sz w:val="24"/>
        </w:rPr>
        <w:t xml:space="preserve">；承建（承接）企业为</w:t>
      </w:r>
      <w:r>
        <w:rPr>
          <w:rFonts w:ascii="SimSun" w:hAnsi="SimSun" w:eastAsia="SimSun" w:cs="SimSun"/>
          <w:i/>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i/>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180" w:firstLine="36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480" w:firstLine="540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24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备注2：供应商如不提供此声明函，价格将不做相应扣除（如项目全面面向中小企业，则资格审查不通过）。</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32"/>
          <w:u w:val="single"/>
        </w:rPr>
        <w:t xml:space="preserve"> 十、残疾人福利性单位声明函</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项目采购活动由本单位提供服务。</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备注：1、供应商如不提供此声明函，价格将不做相应扣除（如项目全面面向中小企业，则资格审查不通过）。</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2、中标人为残疾人福利单位的，此声明函将随中标结果同时公告，接受社会监督</w:t>
      </w:r>
      <w:r/>
    </w:p>
    <w:p>
      <w:pPr>
        <w:ind w:left="0" w:right="0" w:firstLine="624"/>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624"/>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624"/>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1560" w:firstLine="624"/>
        <w:jc w:val="center"/>
        <w:spacing w:before="240" w:after="240"/>
        <w:tabs>
          <w:tab w:val="left" w:pos="486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rPr>
          <w:rFonts w:ascii="SimSun" w:hAnsi="SimSun" w:eastAsia="SimSun" w:cs="SimSun"/>
          <w:color w:val="000000"/>
          <w:sz w:val="24"/>
        </w:rPr>
        <w:t xml:space="preserve">       供应商全称（加盖CA电子公章）：</w:t>
      </w:r>
      <w:r/>
    </w:p>
    <w:p>
      <w:pPr>
        <w:ind w:left="0" w:right="1560" w:firstLine="480"/>
        <w:jc w:val="center"/>
        <w:spacing w:before="240" w:after="240"/>
        <w:tabs>
          <w:tab w:val="left" w:pos="48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rPr>
          <w:rFonts w:ascii="Calibri" w:hAnsi="Calibri" w:eastAsia="Calibri" w:cs="Calibri"/>
          <w:sz w:val="24"/>
          <w:szCs w:val="24"/>
        </w:rPr>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none"/>
        </w:rPr>
      </w:r>
      <w:r>
        <w:rPr>
          <w:rFonts w:ascii="Calibri" w:hAnsi="Calibri" w:eastAsia="Calibri" w:cs="Calibri"/>
          <w:color w:val="000000"/>
          <w:sz w:val="24"/>
          <w:highlight w:val="none"/>
        </w:rPr>
      </w:r>
    </w:p>
    <w:p>
      <w:pPr>
        <w:ind w:left="0" w:right="0" w:firstLine="0"/>
        <w:jc w:val="center"/>
        <w:spacing w:before="240" w:after="240"/>
        <w:rPr>
          <w:rFonts w:ascii="Calibri" w:hAnsi="Calibri" w:eastAsia="Calibri" w:cs="Calibri"/>
          <w:color w:val="000000"/>
          <w:sz w:val="24"/>
          <w:szCs w:val="24"/>
          <w:highlight w:val="none"/>
        </w:rPr>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none"/>
        </w:rPr>
      </w:r>
      <w:r>
        <w:rPr>
          <w:rFonts w:ascii="Calibri" w:hAnsi="Calibri" w:eastAsia="Calibri" w:cs="Calibri"/>
          <w:color w:val="000000"/>
          <w:sz w:val="24"/>
          <w:highlight w:val="none"/>
        </w:rPr>
      </w:r>
    </w:p>
    <w:p>
      <w:pPr>
        <w:ind w:left="0" w:right="0" w:firstLine="0"/>
        <w:jc w:val="center"/>
        <w:spacing w:before="240" w:after="240"/>
        <w:rPr>
          <w:rFonts w:ascii="Calibri" w:hAnsi="Calibri" w:eastAsia="Calibri" w:cs="Calibri"/>
          <w:color w:val="000000"/>
          <w:sz w:val="24"/>
          <w:szCs w:val="24"/>
          <w:highlight w:val="none"/>
        </w:rPr>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none"/>
        </w:rPr>
      </w:r>
      <w:r>
        <w:rPr>
          <w:rFonts w:ascii="Calibri" w:hAnsi="Calibri" w:eastAsia="Calibri" w:cs="Calibri"/>
          <w:color w:val="000000"/>
          <w:sz w:val="24"/>
          <w:highlight w:val="none"/>
        </w:rPr>
      </w:r>
    </w:p>
    <w:p>
      <w:pPr>
        <w:ind w:left="0" w:right="0" w:firstLine="0"/>
        <w:jc w:val="center"/>
        <w:spacing w:before="240" w:after="240"/>
        <w:rPr>
          <w:rFonts w:ascii="Calibri" w:hAnsi="Calibri" w:eastAsia="Calibri" w:cs="Calibri"/>
          <w:color w:val="000000"/>
          <w:sz w:val="24"/>
          <w:szCs w:val="24"/>
          <w:highlight w:val="none"/>
        </w:rPr>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none"/>
        </w:rPr>
      </w:r>
      <w:r>
        <w:rPr>
          <w:rFonts w:ascii="Calibri" w:hAnsi="Calibri" w:eastAsia="Calibri" w:cs="Calibri"/>
          <w:color w:val="000000"/>
          <w:sz w:val="24"/>
          <w:highlight w:val="none"/>
        </w:rPr>
      </w:r>
    </w:p>
    <w:p>
      <w:pPr>
        <w:ind w:left="0" w:right="0" w:firstLine="0"/>
        <w:jc w:val="center"/>
        <w:spacing w:before="240" w:after="240"/>
        <w:rPr>
          <w:rFonts w:ascii="Calibri" w:hAnsi="Calibri" w:eastAsia="Calibri" w:cs="Calibri"/>
          <w:color w:val="000000"/>
          <w:sz w:val="24"/>
          <w:szCs w:val="24"/>
          <w:highlight w:val="none"/>
        </w:rPr>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none"/>
        </w:rPr>
      </w:r>
      <w:r>
        <w:rPr>
          <w:rFonts w:ascii="Calibri" w:hAnsi="Calibri" w:eastAsia="Calibri" w:cs="Calibri"/>
          <w:color w:val="000000"/>
          <w:sz w:val="24"/>
          <w:highlight w:val="none"/>
        </w:rPr>
      </w:r>
    </w:p>
    <w:p>
      <w:pPr>
        <w:ind w:left="0" w:right="0" w:firstLine="0"/>
        <w:jc w:val="center"/>
        <w:spacing w:before="240" w:after="240"/>
        <w:rPr>
          <w:rFonts w:ascii="Calibri" w:hAnsi="Calibri" w:eastAsia="Calibri" w:cs="Calibri"/>
          <w:color w:val="000000"/>
          <w:sz w:val="24"/>
          <w:szCs w:val="24"/>
          <w:highlight w:val="none"/>
        </w:rPr>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none"/>
        </w:rPr>
      </w:r>
      <w:r>
        <w:rPr>
          <w:rFonts w:ascii="Calibri" w:hAnsi="Calibri" w:eastAsia="Calibri" w:cs="Calibri"/>
          <w:color w:val="000000"/>
          <w:sz w:val="24"/>
          <w:highlight w:val="none"/>
        </w:rPr>
      </w:r>
    </w:p>
    <w:p>
      <w:pPr>
        <w:ind w:left="0" w:right="0" w:firstLine="0"/>
        <w:jc w:val="center"/>
        <w:spacing w:before="240" w:after="240"/>
        <w:rPr>
          <w:rFonts w:ascii="Calibri" w:hAnsi="Calibri" w:eastAsia="Calibri" w:cs="Calibri"/>
          <w:color w:val="000000"/>
          <w:sz w:val="24"/>
          <w:szCs w:val="24"/>
          <w:highlight w:val="none"/>
        </w:rPr>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none"/>
        </w:rPr>
      </w:r>
      <w:r>
        <w:rPr>
          <w:rFonts w:ascii="Calibri" w:hAnsi="Calibri" w:eastAsia="Calibri" w:cs="Calibri"/>
          <w:color w:val="000000"/>
          <w:sz w:val="24"/>
          <w:highlight w:val="none"/>
        </w:rPr>
      </w:r>
    </w:p>
    <w:p>
      <w:pPr>
        <w:ind w:left="0" w:right="0" w:firstLine="0"/>
        <w:jc w:val="center"/>
        <w:spacing w:before="240" w:after="240"/>
        <w:rPr>
          <w:rFonts w:ascii="Calibri" w:hAnsi="Calibri" w:eastAsia="Calibri" w:cs="Calibri"/>
          <w:color w:val="000000"/>
          <w:sz w:val="24"/>
          <w:szCs w:val="24"/>
          <w:highlight w:val="none"/>
        </w:rPr>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none"/>
        </w:rPr>
      </w:r>
      <w:r>
        <w:rPr>
          <w:rFonts w:ascii="Calibri" w:hAnsi="Calibri" w:eastAsia="Calibri" w:cs="Calibri"/>
          <w:color w:val="000000"/>
          <w:sz w:val="24"/>
          <w:highlight w:val="none"/>
        </w:rPr>
      </w:r>
    </w:p>
    <w:p>
      <w:pPr>
        <w:ind w:left="0" w:right="0" w:firstLine="0"/>
        <w:jc w:val="center"/>
        <w:spacing w:before="240" w:after="240"/>
        <w:rPr>
          <w:rFonts w:ascii="Calibri" w:hAnsi="Calibri" w:eastAsia="Calibri" w:cs="Calibri"/>
          <w:color w:val="000000"/>
          <w:sz w:val="24"/>
          <w:szCs w:val="24"/>
          <w:highlight w:val="none"/>
        </w:rPr>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none"/>
        </w:rPr>
      </w:r>
      <w:r>
        <w:rPr>
          <w:rFonts w:ascii="Calibri" w:hAnsi="Calibri" w:eastAsia="Calibri" w:cs="Calibri"/>
          <w:color w:val="000000"/>
          <w:sz w:val="24"/>
          <w:highlight w:val="none"/>
        </w:rPr>
      </w:r>
    </w:p>
    <w:p>
      <w:pPr>
        <w:ind w:left="0" w:right="0" w:firstLine="0"/>
        <w:jc w:val="center"/>
        <w:spacing w:before="240" w:after="240"/>
        <w:rPr>
          <w:rFonts w:ascii="Calibri" w:hAnsi="Calibri" w:eastAsia="Calibri" w:cs="Calibri"/>
          <w:color w:val="000000"/>
          <w:sz w:val="24"/>
          <w:szCs w:val="24"/>
          <w:highlight w:val="none"/>
        </w:rPr>
        <w:pBdr>
          <w:top w:val="none" w:color="000000" w:sz="4" w:space="0"/>
          <w:left w:val="none" w:color="000000" w:sz="4" w:space="0"/>
          <w:bottom w:val="none" w:color="000000" w:sz="4" w:space="0"/>
          <w:right w:val="none" w:color="000000" w:sz="4" w:space="0"/>
        </w:pBdr>
      </w:pPr>
      <w:r/>
      <w:r>
        <w:rPr>
          <w:rFonts w:ascii="Calibri" w:hAnsi="Calibri" w:eastAsia="Calibri" w:cs="Calibri"/>
          <w:color w:val="000000"/>
          <w:sz w:val="24"/>
        </w:rPr>
        <w:t xml:space="preserve"> </w:t>
      </w:r>
      <w:r/>
      <w:r>
        <w:rPr>
          <w:rFonts w:ascii="Calibri" w:hAnsi="Calibri" w:eastAsia="Calibri" w:cs="Calibri"/>
          <w:sz w:val="24"/>
        </w:rPr>
      </w:r>
      <w:r>
        <w:rPr>
          <w:rFonts w:ascii="Calibri" w:hAnsi="Calibri" w:eastAsia="Calibri" w:cs="Calibri"/>
          <w:sz w:val="24"/>
        </w:rP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160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ff0000"/>
          <w:sz w:val="32"/>
          <w:u w:val="single"/>
        </w:rPr>
        <w:t xml:space="preserve">十一、 关于符合本国产品标准的声明函（无需提供）</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ff0000"/>
          <w:sz w:val="24"/>
        </w:rPr>
        <w:t xml:space="preserve"> </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jc w:val="both"/>
        <w:spacing w:before="30" w:after="3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highlight w:val="white"/>
        </w:rPr>
        <w:t xml:space="preserve">1.</w:t>
      </w:r>
      <w:r>
        <w:rPr>
          <w:rFonts w:ascii="SimSun" w:hAnsi="SimSun" w:eastAsia="SimSun" w:cs="SimSun"/>
          <w:color w:val="ff0000"/>
          <w:sz w:val="24"/>
          <w:highlight w:val="white"/>
          <w:u w:val="single"/>
        </w:rPr>
        <w:t xml:space="preserve">（产品名称1）</w:t>
      </w:r>
      <w:r>
        <w:rPr>
          <w:rFonts w:ascii="SimSun" w:hAnsi="SimSun" w:eastAsia="SimSun" w:cs="SimSun"/>
          <w:color w:val="ff0000"/>
          <w:sz w:val="24"/>
          <w:highlight w:val="white"/>
          <w:vertAlign w:val="superscript"/>
        </w:rPr>
        <w:t xml:space="preserve">1</w:t>
      </w:r>
      <w:r>
        <w:rPr>
          <w:rFonts w:ascii="SimSun" w:hAnsi="SimSun" w:eastAsia="SimSun" w:cs="SimSun"/>
          <w:color w:val="ff0000"/>
          <w:sz w:val="24"/>
          <w:highlight w:val="white"/>
        </w:rPr>
        <w:t xml:space="preserve">，生产厂为</w:t>
      </w:r>
      <w:r>
        <w:rPr>
          <w:rFonts w:ascii="SimSun" w:hAnsi="SimSun" w:eastAsia="SimSun" w:cs="SimSun"/>
          <w:color w:val="ff0000"/>
          <w:sz w:val="24"/>
          <w:highlight w:val="white"/>
          <w:u w:val="single"/>
        </w:rPr>
        <w:t xml:space="preserve">（厂名）</w:t>
      </w:r>
      <w:r>
        <w:rPr>
          <w:rFonts w:ascii="SimSun" w:hAnsi="SimSun" w:eastAsia="SimSun" w:cs="SimSun"/>
          <w:color w:val="ff0000"/>
          <w:sz w:val="24"/>
          <w:highlight w:val="white"/>
          <w:vertAlign w:val="superscript"/>
        </w:rPr>
        <w:t xml:space="preserve">2</w:t>
      </w:r>
      <w:r>
        <w:rPr>
          <w:rFonts w:ascii="SimSun" w:hAnsi="SimSun" w:eastAsia="SimSun" w:cs="SimSun"/>
          <w:color w:val="ff0000"/>
          <w:sz w:val="24"/>
          <w:highlight w:val="white"/>
        </w:rPr>
        <w:t xml:space="preserve">，厂址为</w:t>
      </w:r>
      <w:r>
        <w:rPr>
          <w:rFonts w:ascii="SimSun" w:hAnsi="SimSun" w:eastAsia="SimSun" w:cs="SimSun"/>
          <w:color w:val="ff0000"/>
          <w:sz w:val="24"/>
          <w:highlight w:val="white"/>
          <w:u w:val="single"/>
        </w:rPr>
        <w:t xml:space="preserve">（生产厂址）</w:t>
      </w:r>
      <w:r>
        <w:rPr>
          <w:rFonts w:ascii="SimSun" w:hAnsi="SimSun" w:eastAsia="SimSun" w:cs="SimSun"/>
          <w:color w:val="ff0000"/>
          <w:sz w:val="24"/>
          <w:highlight w:val="white"/>
        </w:rPr>
        <w:t xml:space="preserve">。</w:t>
      </w:r>
      <w:r>
        <w:rPr>
          <w:rFonts w:ascii="SimSun" w:hAnsi="SimSun" w:eastAsia="SimSun" w:cs="SimSun"/>
          <w:strike/>
          <w:color w:val="ff0000"/>
          <w:sz w:val="24"/>
          <w:highlight w:val="white"/>
          <w:u w:val="single"/>
        </w:rPr>
        <w:t xml:space="preserve"> （产品名称1）</w:t>
      </w:r>
      <w:r>
        <w:rPr>
          <w:rFonts w:ascii="SimSun" w:hAnsi="SimSun" w:eastAsia="SimSun" w:cs="SimSun"/>
          <w:color w:val="ff0000"/>
          <w:sz w:val="24"/>
          <w:highlight w:val="white"/>
          <w:u w:val="single"/>
        </w:rPr>
        <w:t xml:space="preserve"> </w:t>
      </w:r>
      <w:r>
        <w:rPr>
          <w:rFonts w:ascii="SimSun" w:hAnsi="SimSun" w:eastAsia="SimSun" w:cs="SimSun"/>
          <w:color w:val="ff0000"/>
          <w:sz w:val="24"/>
          <w:highlight w:val="white"/>
        </w:rPr>
        <w:t xml:space="preserve">的中国境内生产的组件成本占比≥</w:t>
      </w:r>
      <w:r>
        <w:rPr>
          <w:rFonts w:ascii="SimSun" w:hAnsi="SimSun" w:eastAsia="SimSun" w:cs="SimSun"/>
          <w:strike/>
          <w:color w:val="ff0000"/>
          <w:sz w:val="24"/>
          <w:highlight w:val="white"/>
          <w:u w:val="single"/>
        </w:rPr>
        <w:t xml:space="preserve">（规定比例）</w:t>
      </w:r>
      <w:r>
        <w:rPr>
          <w:rFonts w:ascii="SimSun" w:hAnsi="SimSun" w:eastAsia="SimSun" w:cs="SimSun"/>
          <w:strike/>
          <w:color w:val="ff0000"/>
          <w:sz w:val="24"/>
          <w:highlight w:val="white"/>
          <w:vertAlign w:val="superscript"/>
        </w:rPr>
        <w:t xml:space="preserve">3</w:t>
      </w:r>
      <w:r>
        <w:rPr>
          <w:rFonts w:ascii="SimSun" w:hAnsi="SimSun" w:eastAsia="SimSun" w:cs="SimSun"/>
          <w:color w:val="ff0000"/>
          <w:sz w:val="24"/>
          <w:highlight w:val="white"/>
        </w:rPr>
        <w:t xml:space="preserve">。</w:t>
      </w:r>
      <w:r>
        <w:rPr>
          <w:rFonts w:ascii="SimSun" w:hAnsi="SimSun" w:eastAsia="SimSun" w:cs="SimSun"/>
          <w:strike/>
          <w:color w:val="ff0000"/>
          <w:sz w:val="24"/>
          <w:highlight w:val="white"/>
          <w:u w:val="single"/>
        </w:rPr>
        <w:t xml:space="preserve">（产品名称1）</w:t>
      </w:r>
      <w:r>
        <w:rPr>
          <w:rFonts w:ascii="SimSun" w:hAnsi="SimSun" w:eastAsia="SimSun" w:cs="SimSun"/>
          <w:color w:val="ff0000"/>
          <w:sz w:val="24"/>
          <w:highlight w:val="white"/>
        </w:rPr>
        <w:t xml:space="preserve">的</w:t>
      </w:r>
      <w:r>
        <w:rPr>
          <w:rFonts w:ascii="SimSun" w:hAnsi="SimSun" w:eastAsia="SimSun" w:cs="SimSun"/>
          <w:strike/>
          <w:color w:val="ff0000"/>
          <w:sz w:val="24"/>
          <w:highlight w:val="white"/>
          <w:u w:val="single"/>
        </w:rPr>
        <w:t xml:space="preserve">（关键组件）</w:t>
      </w:r>
      <w:r>
        <w:rPr>
          <w:rFonts w:ascii="SimSun" w:hAnsi="SimSun" w:eastAsia="SimSun" w:cs="SimSun"/>
          <w:strike/>
          <w:color w:val="ff0000"/>
          <w:sz w:val="24"/>
          <w:highlight w:val="white"/>
          <w:vertAlign w:val="superscript"/>
        </w:rPr>
        <w:t xml:space="preserve">4</w:t>
      </w:r>
      <w:r>
        <w:rPr>
          <w:rFonts w:ascii="SimSun" w:hAnsi="SimSun" w:eastAsia="SimSun" w:cs="SimSun"/>
          <w:color w:val="ff0000"/>
          <w:sz w:val="24"/>
          <w:highlight w:val="white"/>
        </w:rPr>
        <w:t xml:space="preserve">在中国境内生产。</w:t>
      </w:r>
      <w:r>
        <w:rPr>
          <w:rFonts w:ascii="SimSun" w:hAnsi="SimSun" w:eastAsia="SimSun" w:cs="SimSun"/>
          <w:strike/>
          <w:color w:val="ff0000"/>
          <w:sz w:val="24"/>
          <w:highlight w:val="white"/>
          <w:u w:val="single"/>
        </w:rPr>
        <w:t xml:space="preserve">（产品名称1）</w:t>
      </w:r>
      <w:r>
        <w:rPr>
          <w:rFonts w:ascii="SimSun" w:hAnsi="SimSun" w:eastAsia="SimSun" w:cs="SimSun"/>
          <w:color w:val="ff0000"/>
          <w:sz w:val="24"/>
          <w:highlight w:val="white"/>
        </w:rPr>
        <w:t xml:space="preserve">的</w:t>
      </w:r>
      <w:r>
        <w:rPr>
          <w:rFonts w:ascii="SimSun" w:hAnsi="SimSun" w:eastAsia="SimSun" w:cs="SimSun"/>
          <w:strike/>
          <w:color w:val="ff0000"/>
          <w:sz w:val="24"/>
          <w:highlight w:val="white"/>
          <w:u w:val="single"/>
        </w:rPr>
        <w:t xml:space="preserve">（关键工序）</w:t>
      </w:r>
      <w:r>
        <w:rPr>
          <w:rFonts w:ascii="SimSun" w:hAnsi="SimSun" w:eastAsia="SimSun" w:cs="SimSun"/>
          <w:strike/>
          <w:color w:val="ff0000"/>
          <w:sz w:val="24"/>
          <w:highlight w:val="white"/>
          <w:vertAlign w:val="superscript"/>
        </w:rPr>
        <w:t xml:space="preserve">5</w:t>
      </w:r>
      <w:r>
        <w:rPr>
          <w:rFonts w:ascii="SimSun" w:hAnsi="SimSun" w:eastAsia="SimSun" w:cs="SimSun"/>
          <w:color w:val="ff0000"/>
          <w:sz w:val="24"/>
          <w:highlight w:val="white"/>
        </w:rPr>
        <w:t xml:space="preserve">在中国境内完成。</w:t>
      </w:r>
      <w:r/>
    </w:p>
    <w:p>
      <w:pPr>
        <w:ind w:left="0" w:right="0" w:firstLine="420"/>
        <w:jc w:val="both"/>
        <w:spacing w:before="30" w:after="3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highlight w:val="white"/>
        </w:rPr>
        <w:t xml:space="preserve">2.</w:t>
      </w:r>
      <w:r>
        <w:rPr>
          <w:rFonts w:ascii="SimSun" w:hAnsi="SimSun" w:eastAsia="SimSun" w:cs="SimSun"/>
          <w:color w:val="ff0000"/>
          <w:sz w:val="24"/>
          <w:highlight w:val="white"/>
          <w:u w:val="single"/>
        </w:rPr>
        <w:t xml:space="preserve">（产品名称2）</w:t>
      </w:r>
      <w:r>
        <w:rPr>
          <w:rFonts w:ascii="SimSun" w:hAnsi="SimSun" w:eastAsia="SimSun" w:cs="SimSun"/>
          <w:color w:val="ff0000"/>
          <w:sz w:val="24"/>
          <w:highlight w:val="white"/>
        </w:rPr>
        <w:t xml:space="preserve">，生产厂为</w:t>
      </w:r>
      <w:r>
        <w:rPr>
          <w:rFonts w:ascii="SimSun" w:hAnsi="SimSun" w:eastAsia="SimSun" w:cs="SimSun"/>
          <w:color w:val="ff0000"/>
          <w:sz w:val="24"/>
          <w:highlight w:val="white"/>
          <w:u w:val="single"/>
        </w:rPr>
        <w:t xml:space="preserve">（厂名）</w:t>
      </w:r>
      <w:r>
        <w:rPr>
          <w:rFonts w:ascii="SimSun" w:hAnsi="SimSun" w:eastAsia="SimSun" w:cs="SimSun"/>
          <w:color w:val="ff0000"/>
          <w:sz w:val="24"/>
          <w:highlight w:val="white"/>
        </w:rPr>
        <w:t xml:space="preserve">，厂址为</w:t>
      </w:r>
      <w:r>
        <w:rPr>
          <w:rFonts w:ascii="SimSun" w:hAnsi="SimSun" w:eastAsia="SimSun" w:cs="SimSun"/>
          <w:color w:val="ff0000"/>
          <w:sz w:val="24"/>
          <w:highlight w:val="white"/>
          <w:u w:val="single"/>
        </w:rPr>
        <w:t xml:space="preserve">（生产厂址）</w:t>
      </w:r>
      <w:r>
        <w:rPr>
          <w:rFonts w:ascii="SimSun" w:hAnsi="SimSun" w:eastAsia="SimSun" w:cs="SimSun"/>
          <w:color w:val="ff0000"/>
          <w:sz w:val="24"/>
          <w:highlight w:val="white"/>
        </w:rPr>
        <w:t xml:space="preserve">。</w:t>
      </w:r>
      <w:r>
        <w:rPr>
          <w:rFonts w:ascii="SimSun" w:hAnsi="SimSun" w:eastAsia="SimSun" w:cs="SimSun"/>
          <w:strike/>
          <w:color w:val="ff0000"/>
          <w:sz w:val="24"/>
          <w:highlight w:val="white"/>
          <w:u w:val="single"/>
        </w:rPr>
        <w:t xml:space="preserve">（产品名称2）</w:t>
      </w:r>
      <w:r>
        <w:rPr>
          <w:rFonts w:ascii="SimSun" w:hAnsi="SimSun" w:eastAsia="SimSun" w:cs="SimSun"/>
          <w:color w:val="ff0000"/>
          <w:sz w:val="24"/>
          <w:highlight w:val="white"/>
        </w:rPr>
        <w:t xml:space="preserve">的中国境内生产的组件成本占比≥</w:t>
      </w:r>
      <w:r>
        <w:rPr>
          <w:rFonts w:ascii="SimSun" w:hAnsi="SimSun" w:eastAsia="SimSun" w:cs="SimSun"/>
          <w:strike/>
          <w:color w:val="ff0000"/>
          <w:sz w:val="24"/>
          <w:highlight w:val="white"/>
          <w:u w:val="single"/>
        </w:rPr>
        <w:t xml:space="preserve">（规定比例）</w:t>
      </w:r>
      <w:r>
        <w:rPr>
          <w:rFonts w:ascii="SimSun" w:hAnsi="SimSun" w:eastAsia="SimSun" w:cs="SimSun"/>
          <w:color w:val="ff0000"/>
          <w:sz w:val="24"/>
          <w:highlight w:val="white"/>
        </w:rPr>
        <w:t xml:space="preserve">。</w:t>
      </w:r>
      <w:r>
        <w:rPr>
          <w:rFonts w:ascii="SimSun" w:hAnsi="SimSun" w:eastAsia="SimSun" w:cs="SimSun"/>
          <w:strike/>
          <w:color w:val="ff0000"/>
          <w:sz w:val="24"/>
          <w:highlight w:val="white"/>
          <w:u w:val="single"/>
        </w:rPr>
        <w:t xml:space="preserve">（产品名称2）</w:t>
      </w:r>
      <w:r>
        <w:rPr>
          <w:rFonts w:ascii="SimSun" w:hAnsi="SimSun" w:eastAsia="SimSun" w:cs="SimSun"/>
          <w:color w:val="ff0000"/>
          <w:sz w:val="24"/>
          <w:highlight w:val="white"/>
        </w:rPr>
        <w:t xml:space="preserve">的</w:t>
      </w:r>
      <w:r>
        <w:rPr>
          <w:rFonts w:ascii="SimSun" w:hAnsi="SimSun" w:eastAsia="SimSun" w:cs="SimSun"/>
          <w:strike/>
          <w:color w:val="ff0000"/>
          <w:sz w:val="24"/>
          <w:highlight w:val="white"/>
          <w:u w:val="single"/>
        </w:rPr>
        <w:t xml:space="preserve">（关键组件）</w:t>
      </w:r>
      <w:r>
        <w:rPr>
          <w:rFonts w:ascii="SimSun" w:hAnsi="SimSun" w:eastAsia="SimSun" w:cs="SimSun"/>
          <w:color w:val="ff0000"/>
          <w:sz w:val="24"/>
          <w:highlight w:val="white"/>
        </w:rPr>
        <w:t xml:space="preserve">在中国境内生产。</w:t>
      </w:r>
      <w:r>
        <w:rPr>
          <w:rFonts w:ascii="SimSun" w:hAnsi="SimSun" w:eastAsia="SimSun" w:cs="SimSun"/>
          <w:strike/>
          <w:color w:val="ff0000"/>
          <w:sz w:val="24"/>
          <w:highlight w:val="white"/>
          <w:u w:val="single"/>
        </w:rPr>
        <w:t xml:space="preserve">（产品名称1）</w:t>
      </w:r>
      <w:r>
        <w:rPr>
          <w:rFonts w:ascii="SimSun" w:hAnsi="SimSun" w:eastAsia="SimSun" w:cs="SimSun"/>
          <w:color w:val="ff0000"/>
          <w:sz w:val="24"/>
          <w:highlight w:val="white"/>
        </w:rPr>
        <w:t xml:space="preserve">的</w:t>
      </w:r>
      <w:r>
        <w:rPr>
          <w:rFonts w:ascii="SimSun" w:hAnsi="SimSun" w:eastAsia="SimSun" w:cs="SimSun"/>
          <w:strike/>
          <w:color w:val="ff0000"/>
          <w:sz w:val="24"/>
          <w:highlight w:val="white"/>
          <w:u w:val="single"/>
        </w:rPr>
        <w:t xml:space="preserve">（关键工序）</w:t>
      </w:r>
      <w:r>
        <w:rPr>
          <w:rFonts w:ascii="SimSun" w:hAnsi="SimSun" w:eastAsia="SimSun" w:cs="SimSun"/>
          <w:color w:val="ff0000"/>
          <w:sz w:val="24"/>
          <w:highlight w:val="white"/>
        </w:rPr>
        <w:t xml:space="preserve">在中国境内完成。</w:t>
      </w:r>
      <w:r/>
    </w:p>
    <w:p>
      <w:pPr>
        <w:ind w:left="0" w:right="0" w:firstLine="420"/>
        <w:jc w:val="both"/>
        <w:spacing w:before="30" w:after="3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highlight w:val="white"/>
        </w:rPr>
        <w:t xml:space="preserve">……</w:t>
      </w:r>
      <w:r/>
    </w:p>
    <w:p>
      <w:pPr>
        <w:ind w:left="0" w:right="0" w:firstLine="420"/>
        <w:jc w:val="both"/>
        <w:spacing w:before="30" w:after="3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highlight w:val="white"/>
        </w:rPr>
        <w:t xml:space="preserve">本公司（单位）对上述声明内容的真实性负责。如有虚假，愿承担相应法律责任。</w:t>
      </w:r>
      <w:r/>
    </w:p>
    <w:p>
      <w:pPr>
        <w:ind w:left="0" w:right="0" w:firstLine="0"/>
        <w:jc w:val="both"/>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 </w:t>
      </w:r>
      <w:r/>
    </w:p>
    <w:p>
      <w:pPr>
        <w:ind w:left="0" w:right="480" w:firstLine="5208"/>
        <w:jc w:val="both"/>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highlight w:val="white"/>
        </w:rPr>
        <w:t xml:space="preserve">公司（单位）名称（盖章）：　</w:t>
      </w:r>
      <w:r/>
    </w:p>
    <w:p>
      <w:pPr>
        <w:ind w:left="0" w:right="0" w:firstLine="0"/>
        <w:jc w:val="center"/>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highlight w:val="white"/>
        </w:rPr>
        <w:t xml:space="preserve">                    日期：　   年　  月　  日         </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1.产品如有型号，请在“产品名称”栏一并填写。</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2.生产厂名与厂址应与生产厂营业执照载明的相关信息保持一致。</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3.该产品的中国境内生产的组件成本占比相关要求实施前，“规定比例”栏可不填，下同。</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4.该产品的关键组件要求实施前，“关键组件”栏可不填，下同。</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5.该产品的关键工序要求实施前，“关键工序”栏可不填，下同。</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6.用横线划除的地方无需填写。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160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32"/>
          <w:u w:val="single"/>
        </w:rPr>
        <w:t xml:space="preserve">十二、联合体协议（参考格式）</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（联合体中各供应商全称）在此达成以下协议：</w:t>
      </w:r>
      <w:r/>
    </w:p>
    <w:p>
      <w:pPr>
        <w:ind w:left="0" w:right="0" w:firstLine="645"/>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w:t>
      </w:r>
      <w:r>
        <w:rPr>
          <w:rFonts w:ascii="SimSun" w:hAnsi="SimSun" w:eastAsia="SimSun" w:cs="SimSun"/>
          <w:color w:val="000000"/>
          <w:sz w:val="24"/>
          <w:u w:val="single"/>
        </w:rPr>
        <w:t xml:space="preserve"> （供应商1），（供应商2） ，……</w:t>
      </w:r>
      <w:r>
        <w:rPr>
          <w:rFonts w:ascii="SimSun" w:hAnsi="SimSun" w:eastAsia="SimSun" w:cs="SimSun"/>
          <w:color w:val="000000"/>
          <w:sz w:val="24"/>
        </w:rPr>
        <w:t xml:space="preserve">自愿组成联合体，参加盐城市政府采购中心组织的采购编号为</w:t>
      </w:r>
      <w:r>
        <w:rPr>
          <w:rFonts w:ascii="SimSun" w:hAnsi="SimSun" w:eastAsia="SimSun" w:cs="SimSun"/>
          <w:color w:val="000000"/>
          <w:sz w:val="24"/>
          <w:u w:val="single"/>
        </w:rPr>
        <w:t xml:space="preserve">（编号全称），（项目全称）</w:t>
      </w:r>
      <w:r>
        <w:rPr>
          <w:rFonts w:ascii="SimSun" w:hAnsi="SimSun" w:eastAsia="SimSun" w:cs="SimSun"/>
          <w:color w:val="000000"/>
          <w:sz w:val="24"/>
        </w:rPr>
        <w:t xml:space="preserve">项目的政府采购活动，我联合体指定</w:t>
      </w:r>
      <w:r>
        <w:rPr>
          <w:rFonts w:ascii="SimSun" w:hAnsi="SimSun" w:eastAsia="SimSun" w:cs="SimSun"/>
          <w:color w:val="000000"/>
          <w:sz w:val="24"/>
          <w:u w:val="single"/>
        </w:rPr>
        <w:t xml:space="preserve">（供应商*）</w:t>
      </w:r>
      <w:r>
        <w:rPr>
          <w:rFonts w:ascii="SimSun" w:hAnsi="SimSun" w:eastAsia="SimSun" w:cs="SimSun"/>
          <w:color w:val="000000"/>
          <w:sz w:val="24"/>
        </w:rPr>
        <w:t xml:space="preserve">为牵头单位（牵头单位必须为联合体成员）。</w:t>
      </w:r>
      <w:r/>
    </w:p>
    <w:p>
      <w:pPr>
        <w:ind w:left="0" w:right="0" w:firstLine="645"/>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3、其中</w:t>
      </w:r>
      <w:r>
        <w:rPr>
          <w:rFonts w:ascii="SimSun" w:hAnsi="SimSun" w:eastAsia="SimSun" w:cs="SimSun"/>
          <w:color w:val="000000"/>
          <w:sz w:val="24"/>
          <w:u w:val="single"/>
        </w:rPr>
        <w:t xml:space="preserve">      </w:t>
      </w:r>
      <w:r>
        <w:rPr>
          <w:rFonts w:ascii="SimSun" w:hAnsi="SimSun" w:eastAsia="SimSun" w:cs="SimSun"/>
          <w:color w:val="000000"/>
          <w:sz w:val="24"/>
        </w:rPr>
        <w:t xml:space="preserve">（小型、微型企业/残疾人福利性单位/监狱企业全称）为</w:t>
      </w:r>
      <w:r>
        <w:rPr>
          <w:rFonts w:ascii="SimSun" w:hAnsi="SimSun" w:eastAsia="SimSun" w:cs="SimSun"/>
          <w:color w:val="000000"/>
          <w:sz w:val="24"/>
          <w:u w:val="single"/>
        </w:rPr>
        <w:t xml:space="preserve">    </w:t>
      </w:r>
      <w:r>
        <w:rPr>
          <w:rFonts w:ascii="SimSun" w:hAnsi="SimSun" w:eastAsia="SimSun" w:cs="SimSun"/>
          <w:color w:val="000000"/>
          <w:sz w:val="24"/>
        </w:rPr>
        <w:t xml:space="preserve">（小型、微型企业/残疾人福利性单位/监狱企业）企业，且我们约定该公司/单位所承担的合同金额将占本项目合同总金额的</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645"/>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645"/>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备注：本招标文件中要求加盖CA电子签章的地方，仅需加盖牵头单位的CA电子签章。</w:t>
      </w:r>
      <w:r/>
    </w:p>
    <w:p>
      <w:pPr>
        <w:ind w:left="0" w:right="0" w:firstLine="645"/>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联合体中各供应商全称（公章）：     </w:t>
      </w:r>
      <w:r/>
    </w:p>
    <w:p>
      <w:pPr>
        <w:ind w:left="0" w:right="0" w:firstLine="645"/>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645"/>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160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32"/>
          <w:u w:val="single"/>
        </w:rPr>
        <w:t xml:space="preserve">十三、投标分项报价表</w:t>
      </w:r>
      <w:r/>
    </w:p>
    <w:tbl>
      <w:tblPr>
        <w:tblStyle w:val="70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3"/>
        <w:gridCol w:w="1845"/>
        <w:gridCol w:w="756"/>
        <w:gridCol w:w="1371"/>
        <w:gridCol w:w="1243"/>
        <w:gridCol w:w="2793"/>
      </w:tblGrid>
      <w:tr>
        <w:trPr>
          <w:trHeight w:val="6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单价（元）</w:t>
            </w:r>
            <w:r/>
          </w:p>
        </w:tc>
        <w:tc>
          <w:tcPr>
            <w:tcBorders>
              <w:top w:val="single" w:color="000000" w:sz="8" w:space="0"/>
              <w:left w:val="none" w:color="000000" w:sz="4" w:space="0"/>
              <w:bottom w:val="single" w:color="000000" w:sz="8" w:space="0"/>
              <w:right w:val="none" w:color="000000" w:sz="4" w:space="0"/>
            </w:tcBorders>
            <w:tcMar>
              <w:left w:w="108" w:type="dxa"/>
              <w:top w:w="0" w:type="dxa"/>
              <w:right w:w="108" w:type="dxa"/>
              <w:bottom w:w="0" w:type="dxa"/>
            </w:tcMar>
            <w:tcW w:w="12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年费用（元）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人员费用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人员工资不低于响水县最新公布的最低工资标准2180元/人*月，所提供人员的费用不得低于上述标准进行测算，否则将视为未实质性响应招标文件要求，作无效标书处理。</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项目副经理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vMerge w:val="continue"/>
            <w:textDirection w:val="lrTb"/>
            <w:noWrap w:val="false"/>
          </w:tcPr>
          <w:p>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vMerge w:val="continue"/>
            <w:textDirection w:val="lrTb"/>
            <w:noWrap w:val="false"/>
          </w:tcPr>
          <w:p>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垃圾清运员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vMerge w:val="continue"/>
            <w:textDirection w:val="lrTb"/>
            <w:noWrap w:val="false"/>
          </w:tcPr>
          <w:p>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中转站操作员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vMerge w:val="continue"/>
            <w:textDirection w:val="lrTb"/>
            <w:noWrap w:val="false"/>
          </w:tcPr>
          <w:p>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驾驶员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vMerge w:val="continue"/>
            <w:textDirection w:val="lrTb"/>
            <w:noWrap w:val="false"/>
          </w:tcPr>
          <w:p>
            <w:r/>
            <w:r/>
          </w:p>
        </w:tc>
      </w:tr>
      <w:tr>
        <w:trPr>
          <w:trHeight w:val="16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社保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社保费用应执行苏人社发〔2025〕33号《关于发布2025年度社会保险有关基数的通知》，社保（企业部分）不得低于上述文件标准及规定险种（规定险种为“五险”，指养老保险金16%、医疗保险金8%、工伤保险金0.7%、生育保险金0.9%、失业保险金0.5%），即不得低于1292.47元/人*月。缴纳社保人员数量不得低于7人。</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公积金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住房公积金不得低于110元/人*月，缴纳公积金人员数量不得低于7人。</w:t>
            </w:r>
            <w:r/>
          </w:p>
        </w:tc>
      </w:tr>
      <w:tr>
        <w:trPr>
          <w:trHeight w:val="7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法定节假日加班费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58人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每年国家法定节假日加班天数为13天，各供应商须按不低于3908.97元/人每年填报，否则作无效标书处理。</w:t>
            </w:r>
            <w:r/>
          </w:p>
        </w:tc>
      </w:tr>
      <w:tr>
        <w:trPr>
          <w:trHeight w:val="7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高温补贴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58人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高温补贴不得低于1200元/人/年，否则作无效标书处理。</w:t>
            </w:r>
            <w:r/>
          </w:p>
        </w:tc>
      </w:tr>
      <w:tr>
        <w:trPr>
          <w:trHeight w:val="7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意外伤害保险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58人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由各供应商自行填报</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服装及劳动保障用品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58人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由各供应商自行填报</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保洁工具、耗材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58人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由各供应商自行填报</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机械设备及其他费用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9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600"/>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7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8吨洗扫车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含车辆（购置或租赁费用）及设施运行维护费（含车辆保险、年审费、燃油费、车辆保养及车辆大中修费、作业车辆所需用的水、电费及清洗费等）等一切费用。</w:t>
            </w:r>
            <w:r/>
          </w:p>
        </w:tc>
      </w:tr>
      <w:tr>
        <w:trPr>
          <w:trHeight w:val="600"/>
        </w:trPr>
        <w:tc>
          <w:tcPr>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7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8吨多功能抑尘车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vMerge w:val="continue"/>
            <w:textDirection w:val="lrTb"/>
            <w:noWrap w:val="false"/>
          </w:tcPr>
          <w:p>
            <w:r/>
            <w:r/>
          </w:p>
        </w:tc>
      </w:tr>
      <w:tr>
        <w:trPr>
          <w:trHeight w:val="600"/>
        </w:trPr>
        <w:tc>
          <w:tcPr>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7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3吨压缩式垃圾车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vMerge w:val="continue"/>
            <w:textDirection w:val="lrTb"/>
            <w:noWrap w:val="false"/>
          </w:tcPr>
          <w:p>
            <w:r/>
            <w:r/>
          </w:p>
        </w:tc>
      </w:tr>
      <w:tr>
        <w:trPr>
          <w:trHeight w:val="600"/>
        </w:trPr>
        <w:tc>
          <w:tcPr>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7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3吨车厢可卸式垃圾车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vMerge w:val="continue"/>
            <w:textDirection w:val="lrTb"/>
            <w:noWrap w:val="false"/>
          </w:tcPr>
          <w:p>
            <w:r/>
            <w:r/>
          </w:p>
        </w:tc>
      </w:tr>
      <w:tr>
        <w:trPr>
          <w:trHeight w:val="600"/>
        </w:trPr>
        <w:tc>
          <w:tcPr>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7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电动三轮清运车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vMerge w:val="continue"/>
            <w:textDirection w:val="lrTb"/>
            <w:noWrap w:val="false"/>
          </w:tcPr>
          <w:p>
            <w:r/>
            <w:r/>
          </w:p>
        </w:tc>
      </w:tr>
      <w:tr>
        <w:trPr>
          <w:trHeight w:val="600"/>
        </w:trPr>
        <w:tc>
          <w:tcPr>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7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6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不可预见费等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由各供应商自行填报</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综合管理费用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由各供应商自行填报</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税金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各供应商填报的税金统一按照6.72%计算。</w:t>
            </w:r>
            <w:r/>
          </w:p>
        </w:tc>
      </w:tr>
      <w:tr>
        <w:trPr>
          <w:trHeight w:val="600"/>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投标总价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计算式：（一项+二项+…+五项）</w:t>
            </w:r>
            <w:r/>
          </w:p>
        </w:tc>
      </w:tr>
    </w:tbl>
    <w:p>
      <w:pPr>
        <w:ind w:left="0" w:right="0" w:firstLine="24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24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rPr>
          <w:rFonts w:ascii="SimSun" w:hAnsi="SimSun" w:eastAsia="SimSun" w:cs="SimSun"/>
          <w:color w:val="000000"/>
          <w:sz w:val="21"/>
        </w:rPr>
        <w:t xml:space="preserve">注：</w:t>
      </w:r>
      <w:r>
        <w:rPr>
          <w:rFonts w:ascii="Times New Roman" w:hAnsi="Times New Roman" w:eastAsia="Times New Roman" w:cs="Times New Roman"/>
          <w:b/>
          <w:i/>
          <w:color w:val="000000"/>
          <w:sz w:val="21"/>
          <w:u w:val="single"/>
        </w:rPr>
        <w:t xml:space="preserve">1</w:t>
      </w:r>
      <w:r>
        <w:rPr>
          <w:rFonts w:ascii="SimSun" w:hAnsi="SimSun" w:eastAsia="SimSun" w:cs="SimSun"/>
          <w:b/>
          <w:i/>
          <w:color w:val="000000"/>
          <w:sz w:val="21"/>
          <w:u w:val="single"/>
        </w:rPr>
        <w:t xml:space="preserve">、供应商必须按招标文件所提供的投标分项报价表格式报价，备注栏中的要求须完全响应，否则其投标文件将被作废标处理。</w:t>
      </w:r>
      <w:r/>
    </w:p>
    <w:p>
      <w:pPr>
        <w:ind w:left="0" w:right="0" w:firstLine="211"/>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i/>
          <w:color w:val="000000"/>
          <w:sz w:val="21"/>
          <w:u w:val="single"/>
        </w:rPr>
        <w:t xml:space="preserve">2</w:t>
      </w:r>
      <w:r>
        <w:rPr>
          <w:rFonts w:ascii="SimSun" w:hAnsi="SimSun" w:eastAsia="SimSun" w:cs="SimSun"/>
          <w:b/>
          <w:i/>
          <w:color w:val="000000"/>
          <w:sz w:val="21"/>
          <w:u w:val="single"/>
        </w:rPr>
        <w:t xml:space="preserve">、供应商所提供的费用不得低于上述标准进行测算，否则视为未实质性响应招标文件要求。</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3、每种服务只允许有一种报价，任何有选择报价将不予接受。投标人必须对投标分项报价表上全部服务进行报价，只投其中部分费用的投标文件将被拒绝。</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4、分项报价表中列明的项目不可修改，否则视为不响应招标文件实质性内容。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570"/>
        <w:jc w:val="both"/>
        <w:spacing w:before="313" w:after="313"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供应商全称（加盖CA电子公章）：</w:t>
      </w:r>
      <w:r/>
    </w:p>
    <w:p>
      <w:pPr>
        <w:ind w:left="0" w:right="0" w:firstLine="3570"/>
        <w:jc w:val="both"/>
        <w:spacing w:before="313" w:after="313"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160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32"/>
          <w:u w:val="single"/>
        </w:rPr>
        <w:t xml:space="preserve">十四、技术要求响应及偏离表</w:t>
      </w:r>
      <w:r/>
    </w:p>
    <w:tbl>
      <w:tblPr>
        <w:tblStyle w:val="70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86"/>
        <w:gridCol w:w="2579"/>
        <w:gridCol w:w="2193"/>
        <w:gridCol w:w="1112"/>
        <w:gridCol w:w="95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7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9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bl>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249"/>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32"/>
          <w:u w:val="single"/>
        </w:rPr>
        <w:t xml:space="preserve">十五、商务要求响应及偏离表</w:t>
      </w:r>
      <w:r/>
    </w:p>
    <w:tbl>
      <w:tblPr>
        <w:tblStyle w:val="70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90"/>
        <w:gridCol w:w="2091"/>
        <w:gridCol w:w="2238"/>
        <w:gridCol w:w="1114"/>
        <w:gridCol w:w="128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9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bl>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jc w:val="both"/>
        <w:spacing w:before="240" w:after="24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160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32"/>
          <w:u w:val="single"/>
        </w:rPr>
        <w:t xml:space="preserve">十六、开标一览表</w:t>
      </w:r>
      <w:r/>
    </w:p>
    <w:p>
      <w:pPr>
        <w:ind w:left="0" w:right="0" w:firstLine="482"/>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482"/>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2"/>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 </w:t>
      </w:r>
      <w:r/>
    </w:p>
    <w:p>
      <w:pPr>
        <w:ind w:left="0" w:right="0" w:firstLine="482"/>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分包号：/    </w:t>
      </w:r>
      <w:r/>
    </w:p>
    <w:tbl>
      <w:tblPr>
        <w:tblStyle w:val="70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19"/>
      </w:tblGrid>
      <w:tr>
        <w:trPr>
          <w:trHeight w:val="115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19" w:type="dxa"/>
            <w:vAlign w:val="center"/>
            <w:textDirection w:val="lrTb"/>
            <w:noWrap/>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w:t>
            </w:r>
            <w:r/>
          </w:p>
        </w:tc>
      </w:tr>
      <w:tr>
        <w:trPr>
          <w:trHeight w:val="10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19" w:type="dxa"/>
            <w:vAlign w:val="center"/>
            <w:textDirection w:val="lrTb"/>
            <w:noWrap/>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（人民币：元）       </w:t>
            </w:r>
            <w:r/>
          </w:p>
        </w:tc>
      </w:tr>
      <w:tr>
        <w:trPr>
          <w:trHeight w:val="10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19" w:type="dxa"/>
            <w:vAlign w:val="center"/>
            <w:textDirection w:val="lrTb"/>
            <w:noWrap/>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报价（大写）：        金额大写     </w:t>
            </w:r>
            <w:r/>
          </w:p>
        </w:tc>
      </w:tr>
    </w:tbl>
    <w:p>
      <w:pPr>
        <w:ind w:left="0" w:right="0" w:firstLine="60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十七、服务方案</w:t>
      </w:r>
      <w:r/>
    </w:p>
    <w:p>
      <w:pPr>
        <w:ind w:left="0" w:right="0" w:firstLine="0"/>
        <w:jc w:val="both"/>
        <w:spacing w:before="240" w:after="240"/>
        <w:tabs>
          <w:tab w:val="left" w:pos="216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格式自拟</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r>
        <w:rPr>
          <w:rFonts w:ascii="SimSun" w:hAnsi="SimSun" w:eastAsia="SimSun" w:cs="SimSun"/>
          <w:color w:val="000000"/>
          <w:sz w:val="32"/>
        </w:rPr>
      </w:r>
      <w:r/>
      <w:r>
        <w:rPr>
          <w:rFonts w:ascii="Calibri" w:hAnsi="Calibri" w:eastAsia="Calibri" w:cs="Calibri"/>
          <w:sz w:val="21"/>
        </w:rPr>
      </w:r>
    </w:p>
    <w:p>
      <w:pPr>
        <w:ind w:left="0" w:right="0" w:firstLine="1600"/>
        <w:jc w:val="both"/>
        <w:spacing w:before="0" w:after="0" w:line="499" w:lineRule="atLeast"/>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p>
    <w:p>
      <w:pPr>
        <w:ind w:left="0" w:right="0" w:firstLine="1600"/>
        <w:jc w:val="both"/>
        <w:spacing w:before="0" w:after="0" w:line="499" w:lineRule="atLeast"/>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p>
    <w:p>
      <w:pPr>
        <w:ind w:left="0" w:right="0" w:firstLine="1600"/>
        <w:jc w:val="both"/>
        <w:spacing w:before="0" w:after="0" w:line="499" w:lineRule="atLeast"/>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p>
    <w:p>
      <w:pPr>
        <w:ind w:left="0" w:right="0" w:firstLine="1600"/>
        <w:jc w:val="both"/>
        <w:spacing w:before="0" w:after="0" w:line="499" w:lineRule="atLeast"/>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p>
    <w:p>
      <w:pPr>
        <w:ind w:left="0" w:right="0" w:firstLine="1600"/>
        <w:jc w:val="both"/>
        <w:spacing w:before="0" w:after="0" w:line="499" w:lineRule="atLeast"/>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p>
    <w:p>
      <w:pPr>
        <w:ind w:left="0" w:right="0" w:firstLine="1600"/>
        <w:jc w:val="both"/>
        <w:spacing w:before="0" w:after="0" w:line="499" w:lineRule="atLeast"/>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32"/>
          <w:u w:val="single"/>
        </w:rPr>
        <w:t xml:space="preserve">十八、盐城市政府采购事前信用承诺书</w:t>
      </w:r>
      <w:r/>
    </w:p>
    <w:p>
      <w:pPr>
        <w:ind w:left="0" w:right="0" w:firstLine="64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为营造我市公开、公平、公正、诚实守信的政府采购交易环境，树立诚信守法的投标人形象，本人代表本单位作出以下承诺：</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（三）严格依照国家和省、市关于政府采购的法律、法规、规章、规范性文件，参加政府采购投标活动；积极履行社会责任，促进廉政建设；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（四）严格遵守即时信息公示规定，及时维护和更新盐城市政府采购网中与本单位相关的信息；</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（六）自觉接受政府、行业组织、社会公众、新闻舆论的监督；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（八）本人已认真阅读了上述承诺，并向本单位员工作了宣传教育。</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法定代表人签名：</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单位名称（盖章）：</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tab/>
        <w:t xml:space="preserve"> </w:t>
        <w:tab/>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tab/>
        <w:tab/>
        <w:tab/>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SimSun" w:hAnsi="SimSun" w:eastAsia="SimSun" w:cs="SimSun"/>
          <w:color w:val="000000"/>
          <w:sz w:val="24"/>
          <w:u w:val="single"/>
        </w:rPr>
        <w:t xml:space="preserve">                       </w:t>
        <w:tab/>
        <w:tab/>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tab/>
        <w:tab/>
        <w:tab/>
        <w:tab/>
        <w:tab/>
        <w:tab/>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tab/>
        <w:tab/>
        <w:tab/>
        <w:tab/>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tab/>
        <w:tab/>
        <w:tab/>
        <w:tab/>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tab/>
        <w:tab/>
        <w:tab/>
        <w:tab/>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包号：</w:t>
      </w:r>
      <w:r>
        <w:rPr>
          <w:rFonts w:ascii="SimSun" w:hAnsi="SimSun" w:eastAsia="SimSun" w:cs="SimSun"/>
          <w:color w:val="000000"/>
          <w:sz w:val="24"/>
          <w:u w:val="single"/>
        </w:rPr>
        <w:t xml:space="preserve">                       </w:t>
        <w:tab/>
        <w:tab/>
        <w:tab/>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日期：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0"/>
        <w:jc w:val="left"/>
        <w:spacing w:before="120" w:after="120" w:line="85" w:lineRule="atLeast"/>
        <w:pBdr>
          <w:top w:val="none" w:color="000000" w:sz="4" w:space="0"/>
          <w:left w:val="none" w:color="000000" w:sz="4" w:space="0"/>
          <w:bottom w:val="none" w:color="000000" w:sz="4" w:space="0"/>
          <w:right w:val="none" w:color="000000" w:sz="4" w:space="0"/>
        </w:pBdr>
      </w:pPr>
      <w:r/>
      <w:r/>
      <w: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4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sectPr>
      <w:footerReference w:type="default" r:id="rId9"/>
      <w:footnotePr/>
      <w:endnotePr/>
      <w:type w:val="nextPage"/>
      <w:pgSz w:w="11906" w:h="16838" w:orient="portrait"/>
      <w:pgMar w:top="1440" w:right="1066" w:bottom="1440" w:left="1236"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楷体_GB2312">
    <w:panose1 w:val="02010609060101010101"/>
  </w:font>
  <w:font w:name="等线">
    <w:panose1 w:val="02010600030101010101"/>
  </w:font>
  <w:font w:name="仿宋">
    <w:panose1 w:val="02010609060101010101"/>
  </w:font>
  <w:font w:name="仿宋_GB2312">
    <w:panose1 w:val="02010609060101010101"/>
  </w:font>
  <w:font w:name="黑体">
    <w:panose1 w:val="02010609060101010101"/>
  </w:font>
  <w:font w:name="NSimSun">
    <w:panose1 w:val="0201060903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7"/>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7"/>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5">
    <w:name w:val="Heading 1 Char"/>
    <w:basedOn w:val="850"/>
    <w:link w:val="847"/>
    <w:uiPriority w:val="9"/>
    <w:rPr>
      <w:rFonts w:ascii="Arial" w:hAnsi="Arial" w:eastAsia="Arial" w:cs="Arial"/>
      <w:sz w:val="40"/>
      <w:szCs w:val="40"/>
    </w:rPr>
  </w:style>
  <w:style w:type="character" w:styleId="676">
    <w:name w:val="Heading 2 Char"/>
    <w:basedOn w:val="850"/>
    <w:link w:val="848"/>
    <w:uiPriority w:val="9"/>
    <w:rPr>
      <w:rFonts w:ascii="Arial" w:hAnsi="Arial" w:eastAsia="Arial" w:cs="Arial"/>
      <w:sz w:val="34"/>
    </w:rPr>
  </w:style>
  <w:style w:type="character" w:styleId="677">
    <w:name w:val="Heading 3 Char"/>
    <w:basedOn w:val="850"/>
    <w:link w:val="872"/>
    <w:uiPriority w:val="9"/>
    <w:rPr>
      <w:rFonts w:ascii="Arial" w:hAnsi="Arial" w:eastAsia="Arial" w:cs="Arial"/>
      <w:sz w:val="30"/>
      <w:szCs w:val="30"/>
    </w:rPr>
  </w:style>
  <w:style w:type="character" w:styleId="678">
    <w:name w:val="Heading 4 Char"/>
    <w:basedOn w:val="850"/>
    <w:link w:val="849"/>
    <w:uiPriority w:val="9"/>
    <w:rPr>
      <w:rFonts w:ascii="Arial" w:hAnsi="Arial" w:eastAsia="Arial" w:cs="Arial"/>
      <w:b/>
      <w:bCs/>
      <w:sz w:val="26"/>
      <w:szCs w:val="26"/>
    </w:rPr>
  </w:style>
  <w:style w:type="paragraph" w:styleId="679">
    <w:name w:val="Heading 5"/>
    <w:basedOn w:val="846"/>
    <w:next w:val="846"/>
    <w:link w:val="680"/>
    <w:uiPriority w:val="9"/>
    <w:unhideWhenUsed/>
    <w:qFormat/>
    <w:pPr>
      <w:keepLines/>
      <w:keepNext/>
      <w:spacing w:before="320" w:after="200"/>
      <w:outlineLvl w:val="4"/>
    </w:pPr>
    <w:rPr>
      <w:rFonts w:ascii="Arial" w:hAnsi="Arial" w:eastAsia="Arial" w:cs="Arial"/>
      <w:b/>
      <w:bCs/>
      <w:sz w:val="24"/>
      <w:szCs w:val="24"/>
    </w:rPr>
  </w:style>
  <w:style w:type="character" w:styleId="680">
    <w:name w:val="Heading 5 Char"/>
    <w:basedOn w:val="850"/>
    <w:link w:val="679"/>
    <w:uiPriority w:val="9"/>
    <w:rPr>
      <w:rFonts w:ascii="Arial" w:hAnsi="Arial" w:eastAsia="Arial" w:cs="Arial"/>
      <w:b/>
      <w:bCs/>
      <w:sz w:val="24"/>
      <w:szCs w:val="24"/>
    </w:rPr>
  </w:style>
  <w:style w:type="paragraph" w:styleId="681">
    <w:name w:val="Heading 6"/>
    <w:basedOn w:val="846"/>
    <w:next w:val="846"/>
    <w:link w:val="682"/>
    <w:uiPriority w:val="9"/>
    <w:unhideWhenUsed/>
    <w:qFormat/>
    <w:pPr>
      <w:keepLines/>
      <w:keepNext/>
      <w:spacing w:before="320" w:after="200"/>
      <w:outlineLvl w:val="5"/>
    </w:pPr>
    <w:rPr>
      <w:rFonts w:ascii="Arial" w:hAnsi="Arial" w:eastAsia="Arial" w:cs="Arial"/>
      <w:b/>
      <w:bCs/>
      <w:sz w:val="22"/>
      <w:szCs w:val="22"/>
    </w:rPr>
  </w:style>
  <w:style w:type="character" w:styleId="682">
    <w:name w:val="Heading 6 Char"/>
    <w:basedOn w:val="850"/>
    <w:link w:val="681"/>
    <w:uiPriority w:val="9"/>
    <w:rPr>
      <w:rFonts w:ascii="Arial" w:hAnsi="Arial" w:eastAsia="Arial" w:cs="Arial"/>
      <w:b/>
      <w:bCs/>
      <w:sz w:val="22"/>
      <w:szCs w:val="22"/>
    </w:rPr>
  </w:style>
  <w:style w:type="paragraph" w:styleId="683">
    <w:name w:val="Heading 7"/>
    <w:basedOn w:val="846"/>
    <w:next w:val="846"/>
    <w:link w:val="684"/>
    <w:uiPriority w:val="9"/>
    <w:unhideWhenUsed/>
    <w:qFormat/>
    <w:pPr>
      <w:keepLines/>
      <w:keepNext/>
      <w:spacing w:before="320" w:after="200"/>
      <w:outlineLvl w:val="6"/>
    </w:pPr>
    <w:rPr>
      <w:rFonts w:ascii="Arial" w:hAnsi="Arial" w:eastAsia="Arial" w:cs="Arial"/>
      <w:b/>
      <w:bCs/>
      <w:i/>
      <w:iCs/>
      <w:sz w:val="22"/>
      <w:szCs w:val="22"/>
    </w:rPr>
  </w:style>
  <w:style w:type="character" w:styleId="684">
    <w:name w:val="Heading 7 Char"/>
    <w:basedOn w:val="850"/>
    <w:link w:val="683"/>
    <w:uiPriority w:val="9"/>
    <w:rPr>
      <w:rFonts w:ascii="Arial" w:hAnsi="Arial" w:eastAsia="Arial" w:cs="Arial"/>
      <w:b/>
      <w:bCs/>
      <w:i/>
      <w:iCs/>
      <w:sz w:val="22"/>
      <w:szCs w:val="22"/>
    </w:rPr>
  </w:style>
  <w:style w:type="paragraph" w:styleId="685">
    <w:name w:val="Heading 8"/>
    <w:basedOn w:val="846"/>
    <w:next w:val="846"/>
    <w:link w:val="686"/>
    <w:uiPriority w:val="9"/>
    <w:unhideWhenUsed/>
    <w:qFormat/>
    <w:pPr>
      <w:keepLines/>
      <w:keepNext/>
      <w:spacing w:before="320" w:after="200"/>
      <w:outlineLvl w:val="7"/>
    </w:pPr>
    <w:rPr>
      <w:rFonts w:ascii="Arial" w:hAnsi="Arial" w:eastAsia="Arial" w:cs="Arial"/>
      <w:i/>
      <w:iCs/>
      <w:sz w:val="22"/>
      <w:szCs w:val="22"/>
    </w:rPr>
  </w:style>
  <w:style w:type="character" w:styleId="686">
    <w:name w:val="Heading 8 Char"/>
    <w:basedOn w:val="850"/>
    <w:link w:val="685"/>
    <w:uiPriority w:val="9"/>
    <w:rPr>
      <w:rFonts w:ascii="Arial" w:hAnsi="Arial" w:eastAsia="Arial" w:cs="Arial"/>
      <w:i/>
      <w:iCs/>
      <w:sz w:val="22"/>
      <w:szCs w:val="22"/>
    </w:rPr>
  </w:style>
  <w:style w:type="paragraph" w:styleId="687">
    <w:name w:val="Heading 9"/>
    <w:basedOn w:val="846"/>
    <w:next w:val="846"/>
    <w:link w:val="688"/>
    <w:uiPriority w:val="9"/>
    <w:unhideWhenUsed/>
    <w:qFormat/>
    <w:pPr>
      <w:keepLines/>
      <w:keepNext/>
      <w:spacing w:before="320" w:after="200"/>
      <w:outlineLvl w:val="8"/>
    </w:pPr>
    <w:rPr>
      <w:rFonts w:ascii="Arial" w:hAnsi="Arial" w:eastAsia="Arial" w:cs="Arial"/>
      <w:i/>
      <w:iCs/>
      <w:sz w:val="21"/>
      <w:szCs w:val="21"/>
    </w:rPr>
  </w:style>
  <w:style w:type="character" w:styleId="688">
    <w:name w:val="Heading 9 Char"/>
    <w:basedOn w:val="850"/>
    <w:link w:val="687"/>
    <w:uiPriority w:val="9"/>
    <w:rPr>
      <w:rFonts w:ascii="Arial" w:hAnsi="Arial" w:eastAsia="Arial" w:cs="Arial"/>
      <w:i/>
      <w:iCs/>
      <w:sz w:val="21"/>
      <w:szCs w:val="21"/>
    </w:rPr>
  </w:style>
  <w:style w:type="paragraph" w:styleId="689">
    <w:name w:val="List Paragraph"/>
    <w:basedOn w:val="846"/>
    <w:uiPriority w:val="34"/>
    <w:qFormat/>
    <w:pPr>
      <w:contextualSpacing/>
      <w:ind w:left="720"/>
    </w:pPr>
  </w:style>
  <w:style w:type="paragraph" w:styleId="690">
    <w:name w:val="No Spacing"/>
    <w:uiPriority w:val="1"/>
    <w:qFormat/>
    <w:pPr>
      <w:spacing w:before="0" w:after="0" w:line="240" w:lineRule="auto"/>
    </w:pPr>
  </w:style>
  <w:style w:type="paragraph" w:styleId="691">
    <w:name w:val="Title"/>
    <w:basedOn w:val="846"/>
    <w:next w:val="846"/>
    <w:link w:val="692"/>
    <w:uiPriority w:val="10"/>
    <w:qFormat/>
    <w:pPr>
      <w:contextualSpacing/>
      <w:spacing w:before="300" w:after="200"/>
    </w:pPr>
    <w:rPr>
      <w:sz w:val="48"/>
      <w:szCs w:val="48"/>
    </w:rPr>
  </w:style>
  <w:style w:type="character" w:styleId="692">
    <w:name w:val="Title Char"/>
    <w:basedOn w:val="850"/>
    <w:link w:val="691"/>
    <w:uiPriority w:val="10"/>
    <w:rPr>
      <w:sz w:val="48"/>
      <w:szCs w:val="48"/>
    </w:rPr>
  </w:style>
  <w:style w:type="paragraph" w:styleId="693">
    <w:name w:val="Subtitle"/>
    <w:basedOn w:val="846"/>
    <w:next w:val="846"/>
    <w:link w:val="694"/>
    <w:uiPriority w:val="11"/>
    <w:qFormat/>
    <w:pPr>
      <w:spacing w:before="200" w:after="200"/>
    </w:pPr>
    <w:rPr>
      <w:sz w:val="24"/>
      <w:szCs w:val="24"/>
    </w:rPr>
  </w:style>
  <w:style w:type="character" w:styleId="694">
    <w:name w:val="Subtitle Char"/>
    <w:basedOn w:val="850"/>
    <w:link w:val="693"/>
    <w:uiPriority w:val="11"/>
    <w:rPr>
      <w:sz w:val="24"/>
      <w:szCs w:val="24"/>
    </w:rPr>
  </w:style>
  <w:style w:type="paragraph" w:styleId="695">
    <w:name w:val="Quote"/>
    <w:basedOn w:val="846"/>
    <w:next w:val="846"/>
    <w:link w:val="696"/>
    <w:uiPriority w:val="29"/>
    <w:qFormat/>
    <w:pPr>
      <w:ind w:left="720" w:right="720"/>
    </w:pPr>
    <w:rPr>
      <w:i/>
    </w:rPr>
  </w:style>
  <w:style w:type="character" w:styleId="696">
    <w:name w:val="Quote Char"/>
    <w:link w:val="695"/>
    <w:uiPriority w:val="29"/>
    <w:rPr>
      <w:i/>
    </w:rPr>
  </w:style>
  <w:style w:type="paragraph" w:styleId="697">
    <w:name w:val="Intense Quote"/>
    <w:basedOn w:val="846"/>
    <w:next w:val="846"/>
    <w:link w:val="69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8">
    <w:name w:val="Intense Quote Char"/>
    <w:link w:val="697"/>
    <w:uiPriority w:val="30"/>
    <w:rPr>
      <w:i/>
    </w:rPr>
  </w:style>
  <w:style w:type="character" w:styleId="699">
    <w:name w:val="Header Char"/>
    <w:basedOn w:val="850"/>
    <w:link w:val="858"/>
    <w:uiPriority w:val="99"/>
  </w:style>
  <w:style w:type="character" w:styleId="700">
    <w:name w:val="Footer Char"/>
    <w:basedOn w:val="850"/>
    <w:link w:val="857"/>
    <w:uiPriority w:val="99"/>
  </w:style>
  <w:style w:type="paragraph" w:styleId="701">
    <w:name w:val="Caption"/>
    <w:basedOn w:val="846"/>
    <w:next w:val="846"/>
    <w:uiPriority w:val="35"/>
    <w:semiHidden/>
    <w:unhideWhenUsed/>
    <w:qFormat/>
    <w:pPr>
      <w:spacing w:line="276" w:lineRule="auto"/>
    </w:pPr>
    <w:rPr>
      <w:b/>
      <w:bCs/>
      <w:color w:val="4f81bd" w:themeColor="accent1"/>
      <w:sz w:val="18"/>
      <w:szCs w:val="18"/>
    </w:rPr>
  </w:style>
  <w:style w:type="character" w:styleId="702">
    <w:name w:val="Caption Char"/>
    <w:basedOn w:val="701"/>
    <w:link w:val="857"/>
    <w:uiPriority w:val="99"/>
  </w:style>
  <w:style w:type="table" w:styleId="703">
    <w:name w:val="Table Grid"/>
    <w:basedOn w:val="85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4">
    <w:name w:val="Table Grid Light"/>
    <w:basedOn w:val="8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5">
    <w:name w:val="Plain Table 1"/>
    <w:basedOn w:val="8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6">
    <w:name w:val="Plain Table 2"/>
    <w:basedOn w:val="8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7">
    <w:name w:val="Plain Table 3"/>
    <w:basedOn w:val="8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8">
    <w:name w:val="Plain Table 4"/>
    <w:basedOn w:val="8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9">
    <w:name w:val="Plain Table 5"/>
    <w:basedOn w:val="8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0">
    <w:name w:val="Grid Table 1 Light"/>
    <w:basedOn w:val="8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1">
    <w:name w:val="Grid Table 1 Light - Accent 1"/>
    <w:basedOn w:val="8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2">
    <w:name w:val="Grid Table 1 Light - Accent 2"/>
    <w:basedOn w:val="8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3">
    <w:name w:val="Grid Table 1 Light - Accent 3"/>
    <w:basedOn w:val="8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4">
    <w:name w:val="Grid Table 1 Light - Accent 4"/>
    <w:basedOn w:val="8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5">
    <w:name w:val="Grid Table 1 Light - Accent 5"/>
    <w:basedOn w:val="8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6">
    <w:name w:val="Grid Table 1 Light - Accent 6"/>
    <w:basedOn w:val="8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7">
    <w:name w:val="Grid Table 2"/>
    <w:basedOn w:val="8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8">
    <w:name w:val="Grid Table 2 - Accent 1"/>
    <w:basedOn w:val="8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9">
    <w:name w:val="Grid Table 2 - Accent 2"/>
    <w:basedOn w:val="8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0">
    <w:name w:val="Grid Table 2 - Accent 3"/>
    <w:basedOn w:val="8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1">
    <w:name w:val="Grid Table 2 - Accent 4"/>
    <w:basedOn w:val="8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2">
    <w:name w:val="Grid Table 2 - Accent 5"/>
    <w:basedOn w:val="8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3">
    <w:name w:val="Grid Table 2 - Accent 6"/>
    <w:basedOn w:val="8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4">
    <w:name w:val="Grid Table 3"/>
    <w:basedOn w:val="8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1"/>
    <w:basedOn w:val="8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2"/>
    <w:basedOn w:val="8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3"/>
    <w:basedOn w:val="8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4"/>
    <w:basedOn w:val="8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5"/>
    <w:basedOn w:val="8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6"/>
    <w:basedOn w:val="8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4"/>
    <w:basedOn w:val="8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2">
    <w:name w:val="Grid Table 4 - Accent 1"/>
    <w:basedOn w:val="85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3">
    <w:name w:val="Grid Table 4 - Accent 2"/>
    <w:basedOn w:val="85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4">
    <w:name w:val="Grid Table 4 - Accent 3"/>
    <w:basedOn w:val="85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5">
    <w:name w:val="Grid Table 4 - Accent 4"/>
    <w:basedOn w:val="85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6">
    <w:name w:val="Grid Table 4 - Accent 5"/>
    <w:basedOn w:val="85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7">
    <w:name w:val="Grid Table 4 - Accent 6"/>
    <w:basedOn w:val="85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8">
    <w:name w:val="Grid Table 5 Dark"/>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9">
    <w:name w:val="Grid Table 5 Dark- Accent 1"/>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40">
    <w:name w:val="Grid Table 5 Dark - Accent 2"/>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41">
    <w:name w:val="Grid Table 5 Dark - Accent 3"/>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2">
    <w:name w:val="Grid Table 5 Dark- Accent 4"/>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3">
    <w:name w:val="Grid Table 5 Dark - Accent 5"/>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44">
    <w:name w:val="Grid Table 5 Dark - Accent 6"/>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45">
    <w:name w:val="Grid Table 6 Colorful"/>
    <w:basedOn w:val="8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6">
    <w:name w:val="Grid Table 6 Colorful - Accent 1"/>
    <w:basedOn w:val="85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47">
    <w:name w:val="Grid Table 6 Colorful - Accent 2"/>
    <w:basedOn w:val="8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48">
    <w:name w:val="Grid Table 6 Colorful - Accent 3"/>
    <w:basedOn w:val="85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49">
    <w:name w:val="Grid Table 6 Colorful - Accent 4"/>
    <w:basedOn w:val="8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50">
    <w:name w:val="Grid Table 6 Colorful - Accent 5"/>
    <w:basedOn w:val="85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1">
    <w:name w:val="Grid Table 6 Colorful - Accent 6"/>
    <w:basedOn w:val="85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2">
    <w:name w:val="Grid Table 7 Colorful"/>
    <w:basedOn w:val="8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3">
    <w:name w:val="Grid Table 7 Colorful - Accent 1"/>
    <w:basedOn w:val="85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4">
    <w:name w:val="Grid Table 7 Colorful - Accent 2"/>
    <w:basedOn w:val="85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5">
    <w:name w:val="Grid Table 7 Colorful - Accent 3"/>
    <w:basedOn w:val="85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6">
    <w:name w:val="Grid Table 7 Colorful - Accent 4"/>
    <w:basedOn w:val="85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7">
    <w:name w:val="Grid Table 7 Colorful - Accent 5"/>
    <w:basedOn w:val="85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8">
    <w:name w:val="Grid Table 7 Colorful - Accent 6"/>
    <w:basedOn w:val="85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9">
    <w:name w:val="List Table 1 Light"/>
    <w:basedOn w:val="8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0">
    <w:name w:val="List Table 1 Light - Accent 1"/>
    <w:basedOn w:val="851"/>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1">
    <w:name w:val="List Table 1 Light - Accent 2"/>
    <w:basedOn w:val="85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2">
    <w:name w:val="List Table 1 Light - Accent 3"/>
    <w:basedOn w:val="85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3">
    <w:name w:val="List Table 1 Light - Accent 4"/>
    <w:basedOn w:val="85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4">
    <w:name w:val="List Table 1 Light - Accent 5"/>
    <w:basedOn w:val="851"/>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5">
    <w:name w:val="List Table 1 Light - Accent 6"/>
    <w:basedOn w:val="85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6">
    <w:name w:val="List Table 2"/>
    <w:basedOn w:val="8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7">
    <w:name w:val="List Table 2 - Accent 1"/>
    <w:basedOn w:val="85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8">
    <w:name w:val="List Table 2 - Accent 2"/>
    <w:basedOn w:val="85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9">
    <w:name w:val="List Table 2 - Accent 3"/>
    <w:basedOn w:val="85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0">
    <w:name w:val="List Table 2 - Accent 4"/>
    <w:basedOn w:val="85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1">
    <w:name w:val="List Table 2 - Accent 5"/>
    <w:basedOn w:val="85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2">
    <w:name w:val="List Table 2 - Accent 6"/>
    <w:basedOn w:val="85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3">
    <w:name w:val="List Table 3"/>
    <w:basedOn w:val="8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4">
    <w:name w:val="List Table 3 - Accent 1"/>
    <w:basedOn w:val="85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75">
    <w:name w:val="List Table 3 - Accent 2"/>
    <w:basedOn w:val="8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76">
    <w:name w:val="List Table 3 - Accent 3"/>
    <w:basedOn w:val="85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77">
    <w:name w:val="List Table 3 - Accent 4"/>
    <w:basedOn w:val="8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78">
    <w:name w:val="List Table 3 - Accent 5"/>
    <w:basedOn w:val="85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79">
    <w:name w:val="List Table 3 - Accent 6"/>
    <w:basedOn w:val="85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80">
    <w:name w:val="List Table 4"/>
    <w:basedOn w:val="8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1">
    <w:name w:val="List Table 4 - Accent 1"/>
    <w:basedOn w:val="85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2">
    <w:name w:val="List Table 4 - Accent 2"/>
    <w:basedOn w:val="85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3">
    <w:name w:val="List Table 4 - Accent 3"/>
    <w:basedOn w:val="85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84">
    <w:name w:val="List Table 4 - Accent 4"/>
    <w:basedOn w:val="85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85">
    <w:name w:val="List Table 4 - Accent 5"/>
    <w:basedOn w:val="85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86">
    <w:name w:val="List Table 4 - Accent 6"/>
    <w:basedOn w:val="85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87">
    <w:name w:val="List Table 5 Dark"/>
    <w:basedOn w:val="8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1"/>
    <w:basedOn w:val="85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2"/>
    <w:basedOn w:val="85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3"/>
    <w:basedOn w:val="85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4"/>
    <w:basedOn w:val="85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5"/>
    <w:basedOn w:val="85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6"/>
    <w:basedOn w:val="85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6 Colorful"/>
    <w:basedOn w:val="8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5">
    <w:name w:val="List Table 6 Colorful - Accent 1"/>
    <w:basedOn w:val="85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96">
    <w:name w:val="List Table 6 Colorful - Accent 2"/>
    <w:basedOn w:val="85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97">
    <w:name w:val="List Table 6 Colorful - Accent 3"/>
    <w:basedOn w:val="85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98">
    <w:name w:val="List Table 6 Colorful - Accent 4"/>
    <w:basedOn w:val="85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99">
    <w:name w:val="List Table 6 Colorful - Accent 5"/>
    <w:basedOn w:val="85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00">
    <w:name w:val="List Table 6 Colorful - Accent 6"/>
    <w:basedOn w:val="85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01">
    <w:name w:val="List Table 7 Colorful"/>
    <w:basedOn w:val="8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2">
    <w:name w:val="List Table 7 Colorful - Accent 1"/>
    <w:basedOn w:val="85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03">
    <w:name w:val="List Table 7 Colorful - Accent 2"/>
    <w:basedOn w:val="85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04">
    <w:name w:val="List Table 7 Colorful - Accent 3"/>
    <w:basedOn w:val="85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05">
    <w:name w:val="List Table 7 Colorful - Accent 4"/>
    <w:basedOn w:val="85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06">
    <w:name w:val="List Table 7 Colorful - Accent 5"/>
    <w:basedOn w:val="85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07">
    <w:name w:val="List Table 7 Colorful - Accent 6"/>
    <w:basedOn w:val="85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08">
    <w:name w:val="Lined - Accent"/>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9">
    <w:name w:val="Lined - Accent 1"/>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0">
    <w:name w:val="Lined - Accent 2"/>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1">
    <w:name w:val="Lined - Accent 3"/>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2">
    <w:name w:val="Lined - Accent 4"/>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3">
    <w:name w:val="Lined - Accent 5"/>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4">
    <w:name w:val="Lined - Accent 6"/>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5">
    <w:name w:val="Bordered &amp; Lined - Accent"/>
    <w:basedOn w:val="85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6">
    <w:name w:val="Bordered &amp; Lined - Accent 1"/>
    <w:basedOn w:val="85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7">
    <w:name w:val="Bordered &amp; Lined - Accent 2"/>
    <w:basedOn w:val="85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8">
    <w:name w:val="Bordered &amp; Lined - Accent 3"/>
    <w:basedOn w:val="85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9">
    <w:name w:val="Bordered &amp; Lined - Accent 4"/>
    <w:basedOn w:val="85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0">
    <w:name w:val="Bordered &amp; Lined - Accent 5"/>
    <w:basedOn w:val="85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1">
    <w:name w:val="Bordered &amp; Lined - Accent 6"/>
    <w:basedOn w:val="85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2">
    <w:name w:val="Bordered"/>
    <w:basedOn w:val="85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3">
    <w:name w:val="Bordered - Accent 1"/>
    <w:basedOn w:val="8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4">
    <w:name w:val="Bordered - Accent 2"/>
    <w:basedOn w:val="8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5">
    <w:name w:val="Bordered - Accent 3"/>
    <w:basedOn w:val="8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6">
    <w:name w:val="Bordered - Accent 4"/>
    <w:basedOn w:val="8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7">
    <w:name w:val="Bordered - Accent 5"/>
    <w:basedOn w:val="8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8">
    <w:name w:val="Bordered - Accent 6"/>
    <w:basedOn w:val="8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9">
    <w:name w:val="Hyperlink"/>
    <w:uiPriority w:val="99"/>
    <w:unhideWhenUsed/>
    <w:rPr>
      <w:color w:val="0000ff" w:themeColor="hyperlink"/>
      <w:u w:val="single"/>
    </w:rPr>
  </w:style>
  <w:style w:type="paragraph" w:styleId="830">
    <w:name w:val="footnote text"/>
    <w:basedOn w:val="846"/>
    <w:link w:val="831"/>
    <w:uiPriority w:val="99"/>
    <w:semiHidden/>
    <w:unhideWhenUsed/>
    <w:pPr>
      <w:spacing w:after="40" w:line="240" w:lineRule="auto"/>
    </w:pPr>
    <w:rPr>
      <w:sz w:val="18"/>
    </w:rPr>
  </w:style>
  <w:style w:type="character" w:styleId="831">
    <w:name w:val="Footnote Text Char"/>
    <w:link w:val="830"/>
    <w:uiPriority w:val="99"/>
    <w:rPr>
      <w:sz w:val="18"/>
    </w:rPr>
  </w:style>
  <w:style w:type="character" w:styleId="832">
    <w:name w:val="footnote reference"/>
    <w:basedOn w:val="850"/>
    <w:uiPriority w:val="99"/>
    <w:unhideWhenUsed/>
    <w:rPr>
      <w:vertAlign w:val="superscript"/>
    </w:rPr>
  </w:style>
  <w:style w:type="paragraph" w:styleId="833">
    <w:name w:val="endnote text"/>
    <w:basedOn w:val="846"/>
    <w:link w:val="834"/>
    <w:uiPriority w:val="99"/>
    <w:semiHidden/>
    <w:unhideWhenUsed/>
    <w:pPr>
      <w:spacing w:after="0" w:line="240" w:lineRule="auto"/>
    </w:pPr>
    <w:rPr>
      <w:sz w:val="20"/>
    </w:rPr>
  </w:style>
  <w:style w:type="character" w:styleId="834">
    <w:name w:val="Endnote Text Char"/>
    <w:link w:val="833"/>
    <w:uiPriority w:val="99"/>
    <w:rPr>
      <w:sz w:val="20"/>
    </w:rPr>
  </w:style>
  <w:style w:type="character" w:styleId="835">
    <w:name w:val="endnote reference"/>
    <w:basedOn w:val="850"/>
    <w:uiPriority w:val="99"/>
    <w:semiHidden/>
    <w:unhideWhenUsed/>
    <w:rPr>
      <w:vertAlign w:val="superscript"/>
    </w:rPr>
  </w:style>
  <w:style w:type="paragraph" w:styleId="836">
    <w:name w:val="toc 2"/>
    <w:basedOn w:val="846"/>
    <w:next w:val="846"/>
    <w:uiPriority w:val="39"/>
    <w:unhideWhenUsed/>
    <w:pPr>
      <w:ind w:left="283" w:right="0" w:firstLine="0"/>
      <w:spacing w:after="57"/>
    </w:pPr>
  </w:style>
  <w:style w:type="paragraph" w:styleId="837">
    <w:name w:val="toc 3"/>
    <w:basedOn w:val="846"/>
    <w:next w:val="846"/>
    <w:uiPriority w:val="39"/>
    <w:unhideWhenUsed/>
    <w:pPr>
      <w:ind w:left="567" w:right="0" w:firstLine="0"/>
      <w:spacing w:after="57"/>
    </w:pPr>
  </w:style>
  <w:style w:type="paragraph" w:styleId="838">
    <w:name w:val="toc 4"/>
    <w:basedOn w:val="846"/>
    <w:next w:val="846"/>
    <w:uiPriority w:val="39"/>
    <w:unhideWhenUsed/>
    <w:pPr>
      <w:ind w:left="850" w:right="0" w:firstLine="0"/>
      <w:spacing w:after="57"/>
    </w:pPr>
  </w:style>
  <w:style w:type="paragraph" w:styleId="839">
    <w:name w:val="toc 5"/>
    <w:basedOn w:val="846"/>
    <w:next w:val="846"/>
    <w:uiPriority w:val="39"/>
    <w:unhideWhenUsed/>
    <w:pPr>
      <w:ind w:left="1134" w:right="0" w:firstLine="0"/>
      <w:spacing w:after="57"/>
    </w:pPr>
  </w:style>
  <w:style w:type="paragraph" w:styleId="840">
    <w:name w:val="toc 6"/>
    <w:basedOn w:val="846"/>
    <w:next w:val="846"/>
    <w:uiPriority w:val="39"/>
    <w:unhideWhenUsed/>
    <w:pPr>
      <w:ind w:left="1417" w:right="0" w:firstLine="0"/>
      <w:spacing w:after="57"/>
    </w:pPr>
  </w:style>
  <w:style w:type="paragraph" w:styleId="841">
    <w:name w:val="toc 7"/>
    <w:basedOn w:val="846"/>
    <w:next w:val="846"/>
    <w:uiPriority w:val="39"/>
    <w:unhideWhenUsed/>
    <w:pPr>
      <w:ind w:left="1701" w:right="0" w:firstLine="0"/>
      <w:spacing w:after="57"/>
    </w:pPr>
  </w:style>
  <w:style w:type="paragraph" w:styleId="842">
    <w:name w:val="toc 8"/>
    <w:basedOn w:val="846"/>
    <w:next w:val="846"/>
    <w:uiPriority w:val="39"/>
    <w:unhideWhenUsed/>
    <w:pPr>
      <w:ind w:left="1984" w:right="0" w:firstLine="0"/>
      <w:spacing w:after="57"/>
    </w:pPr>
  </w:style>
  <w:style w:type="paragraph" w:styleId="843">
    <w:name w:val="toc 9"/>
    <w:basedOn w:val="846"/>
    <w:next w:val="846"/>
    <w:uiPriority w:val="39"/>
    <w:unhideWhenUsed/>
    <w:pPr>
      <w:ind w:left="2268" w:right="0" w:firstLine="0"/>
      <w:spacing w:after="57"/>
    </w:pPr>
  </w:style>
  <w:style w:type="paragraph" w:styleId="844">
    <w:name w:val="TOC Heading"/>
    <w:uiPriority w:val="39"/>
    <w:unhideWhenUsed/>
  </w:style>
  <w:style w:type="paragraph" w:styleId="845">
    <w:name w:val="table of figures"/>
    <w:basedOn w:val="846"/>
    <w:next w:val="846"/>
    <w:uiPriority w:val="99"/>
    <w:unhideWhenUsed/>
    <w:pPr>
      <w:spacing w:after="0" w:afterAutospacing="0"/>
    </w:pPr>
  </w:style>
  <w:style w:type="paragraph" w:styleId="846" w:default="1">
    <w:name w:val="Normal"/>
    <w:next w:val="852"/>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47">
    <w:name w:val="Heading 1"/>
    <w:basedOn w:val="846"/>
    <w:next w:val="846"/>
    <w:link w:val="874"/>
    <w:uiPriority w:val="0"/>
    <w:qFormat/>
    <w:pPr>
      <w:jc w:val="center"/>
      <w:keepLines/>
      <w:keepNext/>
      <w:spacing w:before="100" w:beforeAutospacing="0" w:after="100" w:afterAutospacing="0" w:line="360" w:lineRule="auto"/>
      <w:outlineLvl w:val="0"/>
    </w:pPr>
    <w:rPr>
      <w:rFonts w:eastAsia="黑体" w:asciiTheme="minorAscii" w:hAnsiTheme="minorAscii"/>
      <w:b/>
      <w:sz w:val="44"/>
    </w:rPr>
  </w:style>
  <w:style w:type="paragraph" w:styleId="848">
    <w:name w:val="Heading 2"/>
    <w:basedOn w:val="846"/>
    <w:next w:val="846"/>
    <w:uiPriority w:val="0"/>
    <w:unhideWhenUsed/>
    <w:qFormat/>
    <w:pPr>
      <w:jc w:val="center"/>
      <w:spacing w:before="100" w:beforeAutospacing="0" w:after="100" w:afterAutospacing="0" w:line="360" w:lineRule="auto"/>
      <w:outlineLvl w:val="1"/>
    </w:pPr>
    <w:rPr>
      <w:rFonts w:hint="eastAsia" w:ascii="宋体" w:hAnsi="宋体" w:eastAsia="宋体" w:cs="宋体"/>
      <w:b/>
      <w:bCs/>
      <w:sz w:val="28"/>
      <w:szCs w:val="36"/>
      <w:lang w:bidi="ar"/>
    </w:rPr>
  </w:style>
  <w:style w:type="paragraph" w:styleId="849">
    <w:name w:val="Heading 4"/>
    <w:next w:val="846"/>
    <w:uiPriority w:val="0"/>
    <w:semiHidden/>
    <w:unhideWhenUsed/>
    <w:qFormat/>
    <w:pPr>
      <w:jc w:val="left"/>
      <w:spacing w:beforeAutospacing="1" w:afterAutospacing="1"/>
      <w:widowControl w:val="off"/>
      <w:outlineLvl w:val="3"/>
    </w:pPr>
    <w:rPr>
      <w:rFonts w:hint="eastAsia" w:ascii="宋体" w:hAnsi="宋体" w:eastAsia="宋体" w:cs="Times New Roman"/>
      <w:b/>
      <w:bCs/>
      <w:sz w:val="24"/>
      <w:szCs w:val="24"/>
      <w:lang w:val="en-US" w:eastAsia="zh-CN" w:bidi="ar-SA"/>
    </w:rPr>
  </w:style>
  <w:style w:type="character" w:styleId="850" w:default="1">
    <w:name w:val="Default Paragraph Font"/>
    <w:uiPriority w:val="1"/>
    <w:semiHidden/>
    <w:unhideWhenUsed/>
    <w:qFormat/>
  </w:style>
  <w:style w:type="table" w:styleId="851" w:default="1">
    <w:name w:val="Normal Table"/>
    <w:uiPriority w:val="99"/>
    <w:semiHidden/>
    <w:unhideWhenUsed/>
    <w:qFormat/>
    <w:tblPr>
      <w:tblCellMar>
        <w:left w:w="108" w:type="dxa"/>
        <w:top w:w="0" w:type="dxa"/>
        <w:right w:w="108" w:type="dxa"/>
        <w:bottom w:w="0" w:type="dxa"/>
      </w:tblCellMar>
    </w:tblPr>
  </w:style>
  <w:style w:type="paragraph" w:styleId="852">
    <w:name w:val="Body Text 2"/>
    <w:basedOn w:val="846"/>
    <w:uiPriority w:val="0"/>
    <w:qFormat/>
    <w:pPr>
      <w:jc w:val="center"/>
    </w:pPr>
    <w:rPr>
      <w:rFonts w:ascii="仿宋_GB2312" w:eastAsia="仿宋_GB2312"/>
      <w:sz w:val="44"/>
    </w:rPr>
  </w:style>
  <w:style w:type="paragraph" w:styleId="853">
    <w:name w:val="annotation text"/>
    <w:basedOn w:val="846"/>
    <w:uiPriority w:val="0"/>
    <w:qFormat/>
    <w:pPr>
      <w:jc w:val="left"/>
    </w:pPr>
  </w:style>
  <w:style w:type="paragraph" w:styleId="854">
    <w:name w:val="Body Text"/>
    <w:basedOn w:val="846"/>
    <w:next w:val="846"/>
    <w:uiPriority w:val="0"/>
    <w:semiHidden/>
    <w:qFormat/>
    <w:rPr>
      <w:rFonts w:ascii="仿宋" w:hAnsi="仿宋" w:eastAsia="仿宋" w:cs="仿宋"/>
      <w:sz w:val="31"/>
      <w:szCs w:val="31"/>
      <w:lang w:val="en-US" w:eastAsia="en-US" w:bidi="ar-SA"/>
    </w:rPr>
  </w:style>
  <w:style w:type="paragraph" w:styleId="855">
    <w:name w:val="Body Text Indent"/>
    <w:next w:val="856"/>
    <w:uiPriority w:val="0"/>
    <w:qFormat/>
    <w:pPr>
      <w:ind w:firstLine="645"/>
      <w:jc w:val="both"/>
      <w:widowControl w:val="off"/>
    </w:pPr>
    <w:rPr>
      <w:rFonts w:ascii="楷体_GB2312" w:hAnsi="Times New Roman" w:eastAsia="楷体_GB2312" w:cs="Times New Roman"/>
      <w:sz w:val="32"/>
      <w:szCs w:val="32"/>
      <w:lang w:val="en-US" w:eastAsia="zh-CN" w:bidi="ar-SA"/>
    </w:rPr>
  </w:style>
  <w:style w:type="paragraph" w:styleId="856">
    <w:name w:val="envelope return"/>
    <w:uiPriority w:val="0"/>
    <w:qFormat/>
    <w:pPr>
      <w:ind w:firstLine="200"/>
      <w:jc w:val="both"/>
      <w:spacing w:line="360" w:lineRule="auto"/>
      <w:widowControl w:val="off"/>
    </w:pPr>
    <w:rPr>
      <w:rFonts w:ascii="Arial" w:hAnsi="Arial" w:eastAsia="仿宋_GB2312" w:cs="Arial"/>
      <w:sz w:val="24"/>
      <w:szCs w:val="21"/>
      <w:lang w:val="en-US" w:eastAsia="zh-CN" w:bidi="ar-SA"/>
    </w:rPr>
  </w:style>
  <w:style w:type="paragraph" w:styleId="857">
    <w:name w:val="Footer"/>
    <w:basedOn w:val="846"/>
    <w:link w:val="865"/>
    <w:uiPriority w:val="0"/>
    <w:qFormat/>
    <w:pPr>
      <w:jc w:val="left"/>
      <w:tabs>
        <w:tab w:val="center" w:pos="4153" w:leader="none"/>
        <w:tab w:val="right" w:pos="8306" w:leader="none"/>
      </w:tabs>
    </w:pPr>
    <w:rPr>
      <w:sz w:val="18"/>
      <w:szCs w:val="18"/>
    </w:rPr>
  </w:style>
  <w:style w:type="paragraph" w:styleId="858">
    <w:name w:val="Header"/>
    <w:basedOn w:val="846"/>
    <w:link w:val="864"/>
    <w:uiPriority w:val="0"/>
    <w:qFormat/>
    <w:pPr>
      <w:jc w:val="center"/>
      <w:tabs>
        <w:tab w:val="center" w:pos="4153" w:leader="none"/>
        <w:tab w:val="right" w:pos="8306" w:leader="none"/>
      </w:tabs>
      <w:pBdr>
        <w:bottom w:val="single" w:color="auto" w:sz="6" w:space="1"/>
      </w:pBdr>
    </w:pPr>
    <w:rPr>
      <w:sz w:val="18"/>
      <w:szCs w:val="18"/>
    </w:rPr>
  </w:style>
  <w:style w:type="paragraph" w:styleId="859">
    <w:name w:val="toc 1"/>
    <w:basedOn w:val="846"/>
    <w:next w:val="846"/>
    <w:uiPriority w:val="0"/>
    <w:qFormat/>
  </w:style>
  <w:style w:type="paragraph" w:styleId="860">
    <w:name w:val="Normal (Web)"/>
    <w:basedOn w:val="846"/>
    <w:uiPriority w:val="0"/>
    <w:qFormat/>
    <w:pPr>
      <w:jc w:val="left"/>
      <w:spacing w:beforeAutospacing="1" w:afterAutospacing="1"/>
    </w:pPr>
    <w:rPr>
      <w:rFonts w:cs="Times New Roman"/>
      <w:sz w:val="24"/>
    </w:rPr>
  </w:style>
  <w:style w:type="paragraph" w:styleId="861">
    <w:name w:val="Body Text First Indent"/>
    <w:basedOn w:val="846"/>
    <w:uiPriority w:val="0"/>
    <w:qFormat/>
    <w:pPr>
      <w:ind w:firstLine="200"/>
      <w:jc w:val="both"/>
      <w:spacing w:line="360" w:lineRule="auto"/>
      <w:widowControl w:val="off"/>
    </w:pPr>
    <w:rPr>
      <w:rFonts w:ascii="仿宋_GB2312" w:eastAsia="仿宋_GB2312" w:hAnsiTheme="minorHAnsi" w:cstheme="minorBidi"/>
      <w:sz w:val="30"/>
      <w:szCs w:val="30"/>
      <w:lang w:val="en-US" w:eastAsia="zh-CN" w:bidi="ar-SA"/>
    </w:rPr>
  </w:style>
  <w:style w:type="paragraph" w:styleId="862">
    <w:name w:val="Body Text First Indent 2"/>
    <w:next w:val="846"/>
    <w:uiPriority w:val="0"/>
    <w:qFormat/>
    <w:pPr>
      <w:ind w:firstLine="420"/>
      <w:jc w:val="both"/>
      <w:spacing w:line="360" w:lineRule="auto"/>
      <w:widowControl w:val="off"/>
    </w:pPr>
    <w:rPr>
      <w:rFonts w:ascii="宋体" w:hAnsi="宋体" w:eastAsia="宋体" w:cs="Times New Roman"/>
      <w:sz w:val="21"/>
      <w:szCs w:val="20"/>
      <w:lang w:val="en-US" w:eastAsia="zh-CN" w:bidi="ar-SA"/>
    </w:rPr>
  </w:style>
  <w:style w:type="paragraph" w:styleId="863" w:customStyle="1">
    <w:name w:val="Default"/>
    <w:basedOn w:val="846"/>
    <w:uiPriority w:val="0"/>
    <w:semiHidden/>
    <w:qFormat/>
    <w:pPr>
      <w:jc w:val="left"/>
    </w:pPr>
    <w:rPr>
      <w:rFonts w:ascii="宋体" w:hAnsi="Calibri" w:cs="宋体"/>
      <w:color w:val="000000"/>
      <w:sz w:val="24"/>
    </w:rPr>
  </w:style>
  <w:style w:type="character" w:styleId="864" w:customStyle="1">
    <w:name w:val="页眉 Char"/>
    <w:basedOn w:val="850"/>
    <w:link w:val="858"/>
    <w:uiPriority w:val="0"/>
    <w:qFormat/>
    <w:rPr>
      <w:rFonts w:asciiTheme="minorHAnsi" w:hAnsiTheme="minorHAnsi" w:eastAsiaTheme="minorEastAsia" w:cstheme="minorBidi"/>
      <w:sz w:val="18"/>
      <w:szCs w:val="18"/>
    </w:rPr>
  </w:style>
  <w:style w:type="character" w:styleId="865" w:customStyle="1">
    <w:name w:val="页脚 Char"/>
    <w:basedOn w:val="850"/>
    <w:link w:val="857"/>
    <w:uiPriority w:val="0"/>
    <w:qFormat/>
    <w:rPr>
      <w:rFonts w:asciiTheme="minorHAnsi" w:hAnsiTheme="minorHAnsi" w:eastAsiaTheme="minorEastAsia" w:cstheme="minorBidi"/>
      <w:sz w:val="18"/>
      <w:szCs w:val="18"/>
    </w:rPr>
  </w:style>
  <w:style w:type="paragraph" w:styleId="866" w:customStyle="1">
    <w:name w:val="普通正文"/>
    <w:basedOn w:val="846"/>
    <w:uiPriority w:val="0"/>
    <w:qFormat/>
    <w:pPr>
      <w:ind w:firstLine="480"/>
      <w:jc w:val="left"/>
      <w:spacing w:before="120" w:after="120" w:line="360" w:lineRule="auto"/>
    </w:pPr>
    <w:rPr>
      <w:rFonts w:ascii="Arial" w:hAnsi="Arial" w:eastAsia="等线" w:cs="Arial"/>
      <w:sz w:val="24"/>
      <w:szCs w:val="24"/>
    </w:rPr>
  </w:style>
  <w:style w:type="paragraph" w:styleId="867" w:customStyle="1">
    <w:name w:val="正文首行缩进 21"/>
    <w:basedOn w:val="868"/>
    <w:uiPriority w:val="0"/>
    <w:qFormat/>
    <w:pPr>
      <w:ind w:firstLine="420"/>
    </w:pPr>
  </w:style>
  <w:style w:type="paragraph" w:styleId="868" w:customStyle="1">
    <w:name w:val="正文文本缩进1"/>
    <w:basedOn w:val="846"/>
    <w:uiPriority w:val="0"/>
    <w:qFormat/>
    <w:pPr>
      <w:ind w:left="420"/>
      <w:spacing w:after="120"/>
    </w:pPr>
  </w:style>
  <w:style w:type="character" w:styleId="869" w:customStyle="1">
    <w:name w:val="NormalCharacter"/>
    <w:uiPriority w:val="0"/>
    <w:qFormat/>
    <w:rPr>
      <w:rFonts w:ascii="Calibri" w:hAnsi="Calibri" w:eastAsia="宋体" w:cs="Times New Roman"/>
    </w:rPr>
  </w:style>
  <w:style w:type="paragraph" w:styleId="870" w:customStyle="1">
    <w:name w:val="179"/>
    <w:uiPriority w:val="0"/>
    <w:qFormat/>
    <w:pPr>
      <w:ind w:firstLine="420"/>
      <w:jc w:val="both"/>
      <w:widowControl w:val="off"/>
    </w:pPr>
    <w:rPr>
      <w:rFonts w:ascii="Times New Roman" w:hAnsi="Times New Roman" w:eastAsia="宋体" w:cs="Times New Roman"/>
      <w:sz w:val="21"/>
      <w:szCs w:val="21"/>
      <w:lang w:val="en-US" w:eastAsia="zh-CN" w:bidi="ar-SA"/>
    </w:rPr>
  </w:style>
  <w:style w:type="paragraph" w:styleId="871" w:customStyle="1">
    <w:name w:val="BodyText1I2"/>
    <w:uiPriority w:val="0"/>
    <w:qFormat/>
    <w:pPr>
      <w:ind w:firstLine="200"/>
      <w:jc w:val="both"/>
      <w:widowControl w:val="off"/>
    </w:pPr>
    <w:rPr>
      <w:rFonts w:ascii="Times New Roman" w:hAnsi="Times New Roman" w:eastAsia="宋体" w:cs="Times New Roman"/>
      <w:sz w:val="21"/>
      <w:szCs w:val="21"/>
      <w:lang w:val="en-US" w:eastAsia="zh-CN" w:bidi="ar-SA"/>
    </w:rPr>
  </w:style>
  <w:style w:type="paragraph" w:styleId="872" w:customStyle="1">
    <w:name w:val="Heading 3"/>
    <w:next w:val="846"/>
    <w:uiPriority w:val="0"/>
    <w:qFormat/>
    <w:pPr>
      <w:jc w:val="left"/>
      <w:keepLines/>
      <w:keepNext/>
      <w:spacing w:line="360" w:lineRule="auto"/>
      <w:widowControl w:val="off"/>
    </w:pPr>
    <w:rPr>
      <w:rFonts w:ascii="Times New Roman" w:hAnsi="Times New Roman" w:eastAsia="宋体" w:cs="Times New Roman"/>
      <w:b/>
      <w:bCs/>
      <w:sz w:val="28"/>
      <w:szCs w:val="32"/>
      <w:lang w:val="en-US" w:eastAsia="zh-CN" w:bidi="ar-SA"/>
    </w:rPr>
  </w:style>
  <w:style w:type="character" w:styleId="873" w:customStyle="1">
    <w:name w:val="font21"/>
    <w:basedOn w:val="850"/>
    <w:uiPriority w:val="0"/>
    <w:qFormat/>
    <w:rPr>
      <w:rFonts w:hint="default" w:ascii="Times New Roman" w:hAnsi="Times New Roman" w:cs="Times New Roman"/>
      <w:color w:val="000000"/>
      <w:sz w:val="24"/>
      <w:szCs w:val="24"/>
      <w:u w:val="none"/>
    </w:rPr>
  </w:style>
  <w:style w:type="character" w:styleId="874" w:customStyle="1">
    <w:name w:val="标题 1 Char"/>
    <w:link w:val="847"/>
    <w:uiPriority w:val="0"/>
    <w:qFormat/>
    <w:rPr>
      <w:rFonts w:eastAsia="黑体" w:asciiTheme="minorAscii" w:hAnsiTheme="minorAscii"/>
      <w:b/>
      <w:sz w:val="44"/>
    </w:rPr>
  </w:style>
  <w:style w:type="paragraph" w:styleId="875" w:customStyle="1">
    <w:name w:val="UserStyle_44"/>
    <w:uiPriority w:val="0"/>
    <w:qFormat/>
    <w:pPr>
      <w:ind w:firstLine="480"/>
      <w:jc w:val="left"/>
      <w:spacing w:before="120" w:after="120" w:line="360" w:lineRule="auto"/>
      <w:widowControl w:val="off"/>
    </w:pPr>
    <w:rPr>
      <w:rFonts w:ascii="Arial" w:hAnsi="Arial" w:eastAsia="宋体" w:cs="Times New Roman"/>
      <w:sz w:val="24"/>
      <w:szCs w:val="24"/>
      <w:lang w:val="en-US" w:eastAsia="zh-CN" w:bidi="ar-SA"/>
    </w:rPr>
  </w:style>
  <w:style w:type="character" w:styleId="876" w:customStyle="1">
    <w:name w:val="font11"/>
    <w:basedOn w:val="850"/>
    <w:uiPriority w:val="0"/>
    <w:qFormat/>
    <w:rPr>
      <w:rFonts w:hint="eastAsia" w:ascii="宋体" w:hAnsi="宋体" w:eastAsia="宋体" w:cs="宋体"/>
      <w:b/>
      <w:bCs/>
      <w:color w:val="000000"/>
      <w:sz w:val="24"/>
      <w:szCs w:val="24"/>
      <w:u w:val="none"/>
    </w:rPr>
  </w:style>
  <w:style w:type="paragraph" w:styleId="877" w:customStyle="1">
    <w:name w:val="普通(网站)1"/>
    <w:basedOn w:val="846"/>
    <w:uiPriority w:val="99"/>
    <w:qFormat/>
    <w:pPr>
      <w:jc w:val="left"/>
      <w:spacing w:before="100" w:beforeAutospacing="1" w:after="100" w:afterAutospacing="1"/>
      <w:widowControl/>
    </w:pPr>
    <w:rPr>
      <w:rFonts w:ascii="宋体" w:hAnsi="宋体" w:cs="宋体"/>
      <w:sz w:val="24"/>
    </w:rPr>
  </w:style>
  <w:style w:type="numbering" w:styleId="8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663"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642"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729"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9913"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9849"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7087"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徐慧慧</cp:lastModifiedBy>
  <cp:revision>275</cp:revision>
  <dcterms:created xsi:type="dcterms:W3CDTF">2014-10-29T12:08:00Z</dcterms:created>
  <dcterms:modified xsi:type="dcterms:W3CDTF">2026-06-26T01:54:00Z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2052-11.1.0.15320</vt:lpwstr>
  </property>
  <property fmtid="{D5CDD505-2E9C-101B-9397-08002B2CF9AE}" pid="3" name="ICV">
    <vt:lpwstr>2F50F076EA114F19981927861320F920_13</vt:lpwstr>
  </property>
  <property fmtid="{D5CDD505-2E9C-101B-9397-08002B2CF9AE}" pid="4" name="KSOTemplateDocerSaveRecord">
    <vt:lpwstr>eyJoZGlkIjoiNzI2ZTMwMDRmMTkxZTAwZGJjMjNiYTc3NTk5ZWNiZTUiLCJ1c2VySWQiOiIxNzE1MjkyNDE2In0=</vt:lpwstr>
  </property>
</Properties>
</file>